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6" w:rsidRDefault="00A66336" w:rsidP="009E1D45">
      <w:pPr>
        <w:jc w:val="center"/>
        <w:rPr>
          <w:b/>
          <w:sz w:val="32"/>
          <w:szCs w:val="32"/>
          <w:lang w:eastAsia="ru-RU"/>
        </w:rPr>
      </w:pPr>
      <w:r w:rsidRPr="009F55A7">
        <w:rPr>
          <w:b/>
          <w:sz w:val="32"/>
          <w:szCs w:val="32"/>
          <w:lang w:eastAsia="ru-RU"/>
        </w:rPr>
        <w:t>Круглый стол в рамках совместной рабочей группы по реал</w:t>
      </w:r>
      <w:r w:rsidRPr="009F55A7">
        <w:rPr>
          <w:b/>
          <w:sz w:val="32"/>
          <w:szCs w:val="32"/>
          <w:lang w:eastAsia="ru-RU"/>
        </w:rPr>
        <w:t>и</w:t>
      </w:r>
      <w:r w:rsidRPr="009F55A7">
        <w:rPr>
          <w:b/>
          <w:sz w:val="32"/>
          <w:szCs w:val="32"/>
          <w:lang w:eastAsia="ru-RU"/>
        </w:rPr>
        <w:t>зации инвестиционной политики Совета иностранных инвесторов при Президенте Республики Казахстан</w:t>
      </w:r>
    </w:p>
    <w:p w:rsidR="00A66336" w:rsidRDefault="00A66336" w:rsidP="009E1D45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9E1D45" w:rsidRDefault="009E1D45" w:rsidP="009E1D45">
      <w:pPr>
        <w:jc w:val="center"/>
        <w:rPr>
          <w:b/>
          <w:sz w:val="28"/>
          <w:szCs w:val="28"/>
          <w:lang w:eastAsia="ru-RU"/>
        </w:rPr>
      </w:pPr>
      <w:r w:rsidRPr="009F55A7">
        <w:rPr>
          <w:b/>
          <w:sz w:val="28"/>
          <w:szCs w:val="28"/>
          <w:lang w:eastAsia="ru-RU"/>
        </w:rPr>
        <w:t xml:space="preserve">Выступление </w:t>
      </w:r>
      <w:proofErr w:type="spellStart"/>
      <w:r w:rsidRPr="009F55A7">
        <w:rPr>
          <w:b/>
          <w:sz w:val="28"/>
          <w:szCs w:val="28"/>
          <w:lang w:eastAsia="ru-RU"/>
        </w:rPr>
        <w:t>Даулета</w:t>
      </w:r>
      <w:proofErr w:type="spellEnd"/>
      <w:r w:rsidRPr="009F55A7">
        <w:rPr>
          <w:b/>
          <w:sz w:val="28"/>
          <w:szCs w:val="28"/>
          <w:lang w:eastAsia="ru-RU"/>
        </w:rPr>
        <w:t xml:space="preserve"> </w:t>
      </w:r>
      <w:proofErr w:type="spellStart"/>
      <w:r w:rsidRPr="009F55A7">
        <w:rPr>
          <w:b/>
          <w:sz w:val="28"/>
          <w:szCs w:val="28"/>
          <w:lang w:eastAsia="ru-RU"/>
        </w:rPr>
        <w:t>Ергожина</w:t>
      </w:r>
      <w:proofErr w:type="spellEnd"/>
      <w:r w:rsidRPr="009F55A7">
        <w:rPr>
          <w:b/>
          <w:sz w:val="28"/>
          <w:szCs w:val="28"/>
          <w:lang w:eastAsia="ru-RU"/>
        </w:rPr>
        <w:t xml:space="preserve">, Председателя Комитета </w:t>
      </w:r>
    </w:p>
    <w:p w:rsidR="009E1D45" w:rsidRDefault="009E1D45" w:rsidP="009E1D45">
      <w:pPr>
        <w:jc w:val="center"/>
        <w:rPr>
          <w:b/>
          <w:sz w:val="28"/>
          <w:szCs w:val="28"/>
          <w:lang w:eastAsia="ru-RU"/>
        </w:rPr>
      </w:pPr>
      <w:r w:rsidRPr="009F55A7">
        <w:rPr>
          <w:b/>
          <w:sz w:val="28"/>
          <w:szCs w:val="28"/>
          <w:lang w:eastAsia="ru-RU"/>
        </w:rPr>
        <w:t>государственных доходов Министерства финансов Республики Казахстан</w:t>
      </w:r>
    </w:p>
    <w:p w:rsidR="009E1D45" w:rsidRPr="009F55A7" w:rsidRDefault="009E1D45" w:rsidP="009E1D45">
      <w:pPr>
        <w:jc w:val="center"/>
        <w:rPr>
          <w:b/>
          <w:sz w:val="28"/>
          <w:szCs w:val="28"/>
          <w:lang w:eastAsia="ru-RU"/>
        </w:rPr>
      </w:pP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Добрый день, уважаемые гости и  участники</w:t>
      </w:r>
      <w:r>
        <w:rPr>
          <w:sz w:val="28"/>
          <w:szCs w:val="28"/>
          <w:lang w:eastAsia="ru-RU"/>
        </w:rPr>
        <w:t xml:space="preserve"> </w:t>
      </w:r>
      <w:r w:rsidRPr="009F55A7">
        <w:rPr>
          <w:sz w:val="28"/>
          <w:szCs w:val="28"/>
          <w:lang w:eastAsia="ru-RU"/>
        </w:rPr>
        <w:t>Круглого стола!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ab/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Главой государства Н.А. Назарбаевым в своих выступлениях зачастую отводится особое внимание развитию инвестиционной привлекательности Казахстана. Перед всеми государственными органами ставятся задачи максимально эффективно использовать выгодное географическое положение страны, наличие природных и минеральных ресурсов и политическую стабильность. Все эти факторы на сегодня обеспечены либеральным законодательством, что создает огромные возможности развития и поддержки привлечения иностранных инвестиций.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В свою очередь, Комитет государственных доходов, созданный с целью повышения эффективности работы в части обеспечения поступлений доходов в бюджет, принимает все необходимые меры для непосредственного снижения административной нагрузки на бизнес.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При формировании подходов в администрировании мы основываемся на принципах работы, сочетающих в себе качество администрирования с максимальным соблюдением интересов плательщиков.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Как я уже отметил выше, в стране созданы максимально благоприятные законодательные условия для инвесторов и на постоянной основе реализуются необходимые административные меры, направленные на повышение инвестиционной привлекательности.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Со своей стороны отмечу ряд примеров, которые демонстрируют результаты такой работы Комитета на границе: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proofErr w:type="gramStart"/>
      <w:r w:rsidRPr="009F55A7">
        <w:rPr>
          <w:sz w:val="28"/>
          <w:szCs w:val="28"/>
          <w:lang w:eastAsia="ru-RU"/>
        </w:rPr>
        <w:t xml:space="preserve">1. значительно сокращено количество документов  при совершении экспортно-импортных операций, при экспорте товаров – 3 документа (транспортная накладная, коммерческий инвойс, таможенная декларация на экспорт), при импорте – 5 документов (транспортная накладная, коммерческий инвойс, таможенная декларация на импорт, сертификат соответствия, документ на транзит (в случае транзита товаров).  </w:t>
      </w:r>
      <w:proofErr w:type="gramEnd"/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2. кардинально пересмотрены подходы к применению СУР, внедрен механизм категорирования участников ВЭД, они разделены на три категории: с низким, средним и высоким уровнем риска.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При этом введен такой «бонус» для участников ВЭД низкой категории риска, они проходят таможенное оформление по так называемому «зеленому коридору», т.е. без применения форм таможенного контроля. В группу «низкого риска» отнесено порядка 5 % всех участников ВЭД, на них </w:t>
      </w:r>
      <w:r w:rsidRPr="009F55A7">
        <w:rPr>
          <w:sz w:val="28"/>
          <w:szCs w:val="28"/>
          <w:lang w:eastAsia="ru-RU"/>
        </w:rPr>
        <w:lastRenderedPageBreak/>
        <w:t>приходится треть всего объема импорта в стоимостном выражении и более 40 % в весовом, а также 23% всей уплаты платежей.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Результаты внедрения механизма категорирования - увеличилась средняя цена в долларах США за 1 кг веса-нетто товара на 13% и отношение уплаченных пошлин к таможенной стоимости на 9 %.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3. С 1 января 2015 года органы государственных доходов в целях сокращения контролирующих органов и облегчения прохождения таможенного контроля на казахстанском участке внешней границы наделены правом </w:t>
      </w:r>
      <w:proofErr w:type="gramStart"/>
      <w:r w:rsidRPr="009F55A7">
        <w:rPr>
          <w:sz w:val="28"/>
          <w:szCs w:val="28"/>
          <w:lang w:eastAsia="ru-RU"/>
        </w:rPr>
        <w:t>осуществлять</w:t>
      </w:r>
      <w:proofErr w:type="gramEnd"/>
      <w:r w:rsidRPr="009F55A7">
        <w:rPr>
          <w:sz w:val="28"/>
          <w:szCs w:val="28"/>
          <w:lang w:eastAsia="ru-RU"/>
        </w:rPr>
        <w:t xml:space="preserve"> функции транспортного, санитарно-карантинного, ветеринарного и фитосанитарного контроля;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4. Совместно с Комитетом по инвестициям МИР РК подписан приказ о предоставлении списка инвесторов в приоритетных секторах экономики, которые могут для реализации инвестиционных проектов пользоваться «зелёным коридором» при таможенном контроле товаров;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5. совместно с НПП реализован проект «Зеленый коридор для 300 крупных налогоплательщиков», в рамках которого для таких налогоплательщиков таможенный контроль осуществляется на </w:t>
      </w:r>
      <w:proofErr w:type="spellStart"/>
      <w:r w:rsidRPr="009F55A7">
        <w:rPr>
          <w:sz w:val="28"/>
          <w:szCs w:val="28"/>
          <w:lang w:eastAsia="ru-RU"/>
        </w:rPr>
        <w:t>посттаможенном</w:t>
      </w:r>
      <w:proofErr w:type="spellEnd"/>
      <w:r w:rsidRPr="009F55A7">
        <w:rPr>
          <w:sz w:val="28"/>
          <w:szCs w:val="28"/>
          <w:lang w:eastAsia="ru-RU"/>
        </w:rPr>
        <w:t xml:space="preserve"> этапе, а не на этапе очистки товара.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6.  применяются процедуры предварительного информирования (автомобильным транспортом ввозится 94 % товаров, железнодорожным транспортом 70 % товаров);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7. с учетом возможностей использования стратегического расположения Казахстана между Европой и Азией в 2015 году на казахстанско-китайской границе начата реализация проекта «Доверие».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Суть проекта - повышение конкурентоспособности и привлекательности маршрутов в сообщении Казахстан – Китай, Китай – Центральная Азия и Китай – Европа, поддержка скоростного международного железнодорожного маршрута «Китай – Европа» и транзитного перемещения грузов;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8. в целях дальнейшего совершенствования транспортно-логистической инфраструктуры страны запланированы мероприятия по модернизации инфраструктуры приграничных пунктов пропуска. Имеется договоренность о предоставлении технического займа от КНР  на реконструкцию и техническое оснащение пунктов пропуска на казахстанском участке таможенной границы ЕАЭС.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Решения по модернизации пунктов пропуска  предусматривают комплексный подход в развитии их инфраструктуры и технического оснащения. Так предполагается, полное исключение контакта сотрудников таможни и участников ВЭД, а мониторинг прохождения таможенных процедур будет производиться централизованно в онлайн режиме в диспетчерском управлении КГД.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С целью привлечения инвестиций налоговым законодательством Казахстана предусмотрены такие возможности как: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1.</w:t>
      </w:r>
      <w:r w:rsidRPr="009F55A7">
        <w:rPr>
          <w:sz w:val="28"/>
          <w:szCs w:val="28"/>
          <w:lang w:eastAsia="ru-RU"/>
        </w:rPr>
        <w:tab/>
        <w:t>самостоятельное применение налогоплательщиком инвестиционных налоговых преференций.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lastRenderedPageBreak/>
        <w:t xml:space="preserve">Справочно: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инвестиционные преференции предоставляются: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1) по инвестиционному проекту - юридическому лицу РК;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2) по инвестиционному приоритетному проекту - вновь созданному юридическому лицу РК;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3) по инвестиционному стратегическому проекту - юридическому лицу, реализующему инвестиционный стратегический проект в соответствии с инвестиционным контрактом, заключенным с уполномоченным органом по инвестициям до 1 января 2015 года.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Налогоплательщик имеет возможность в последующем полностью отнести на вычеты в целях исчисления корпоративного подоходного налога стоимость объектов преференций, впервые вводимых в эксплуатацию на территории Казахстана, а также последующие расходы на реконструкцию, модернизацию, единовременно либо в течение трех лет с момента ввода в эксплуатацию объектов преференций.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Организации, реализующие инвестиционные приоритетные проекты могут воспользоваться следующими преференциями: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- уменьшение корпоративного подоходного налога на 100%;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- применение коэффициента 0 к ставкам земельного налога;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- исчисление налога на имущество по ставке 0% к налоговой базе;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- предоставление гарантии стабильности налогового законодательства.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2. </w:t>
      </w:r>
      <w:proofErr w:type="gramStart"/>
      <w:r w:rsidRPr="009F55A7">
        <w:rPr>
          <w:sz w:val="28"/>
          <w:szCs w:val="28"/>
          <w:lang w:eastAsia="ru-RU"/>
        </w:rPr>
        <w:t xml:space="preserve">Предпринимательским кодексом по инвестиционным приоритетным проектам предусмотрены меры государственной поддержки в виде инвестиционных преференций, таких как: </w:t>
      </w:r>
      <w:proofErr w:type="gramEnd"/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- освобождение от обложения таможенными пошлинами;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- государственные натурные гранты;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- инвестиционная субсидия (возмещение до 30 процентов фактических затрат на строительно-монтажные работы и приобретение оборудования без учета налога на добавленную стоимость и акцизов).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3. с 1 января 2017 года будет введена в действие законодательная норма о возможности освободить инвесторов не только от оплаты корпоративного подоходного и земельного налогов, но также для определенных инвестиционных проектов, предусмотрено освобождение от НДС импорта сырья и (или) материалов в рамках инвестиционного контракта.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4. Для организации, осуществляющих деятельность на территориях специальных экономических зон распространяются такие же налоговые льготы, как и для организаций, реализующих приоритетные инвестиционные проекты.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Дополнительно на территориях специальных экономических зон предусмотрена нулевая ставка по НДС по оборотам по реализации товаров, полностью потребляемых на территории СЭЗ (для поставщиков).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5. в части администрирования отмечу такое нововведение как централизация налогового администрирования иностранных компаний и инвесторов. Ранее в комитете функционировало подразделение по администрированию </w:t>
      </w:r>
      <w:proofErr w:type="spellStart"/>
      <w:r w:rsidRPr="009F55A7">
        <w:rPr>
          <w:sz w:val="28"/>
          <w:szCs w:val="28"/>
          <w:lang w:eastAsia="ru-RU"/>
        </w:rPr>
        <w:t>недропользователей</w:t>
      </w:r>
      <w:proofErr w:type="spellEnd"/>
      <w:r w:rsidRPr="009F55A7">
        <w:rPr>
          <w:sz w:val="28"/>
          <w:szCs w:val="28"/>
          <w:lang w:eastAsia="ru-RU"/>
        </w:rPr>
        <w:t xml:space="preserve">, положительные результаты такой </w:t>
      </w:r>
      <w:r w:rsidRPr="009F55A7">
        <w:rPr>
          <w:sz w:val="28"/>
          <w:szCs w:val="28"/>
          <w:lang w:eastAsia="ru-RU"/>
        </w:rPr>
        <w:lastRenderedPageBreak/>
        <w:t xml:space="preserve">специализации мы применили и к  налогообложению инвесторов и нерезидентов.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В планах дальнейшего развития ведомства стоят задачи по введению электронного таможенного декларирования на основании передовых международных стандартов, так будет внедрена платформа программного обеспечения «АСИКУДА», адаптированная с учетом условий Казахстана.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В рамках вхождения в ВТО будет разработана специальная информационная система - «Виртуальный склад», которая вкупе с дальнейшим развитием действующей системы «Электронные счета-фактуры», станет прототипом систем для всех стран </w:t>
      </w:r>
      <w:proofErr w:type="spellStart"/>
      <w:r w:rsidRPr="009F55A7">
        <w:rPr>
          <w:sz w:val="28"/>
          <w:szCs w:val="28"/>
          <w:lang w:eastAsia="ru-RU"/>
        </w:rPr>
        <w:t>ЕврАзЭС</w:t>
      </w:r>
      <w:proofErr w:type="spellEnd"/>
      <w:r w:rsidRPr="009F55A7">
        <w:rPr>
          <w:sz w:val="28"/>
          <w:szCs w:val="28"/>
          <w:lang w:eastAsia="ru-RU"/>
        </w:rPr>
        <w:t xml:space="preserve">.    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Мы ожидаем, что благодаря реализуемым мерам сделаем семимильные шаги по повышению качества администрирования, которое позволит, с одной стороны, для </w:t>
      </w:r>
      <w:proofErr w:type="gramStart"/>
      <w:r w:rsidRPr="009F55A7">
        <w:rPr>
          <w:sz w:val="28"/>
          <w:szCs w:val="28"/>
          <w:lang w:eastAsia="ru-RU"/>
        </w:rPr>
        <w:t>бизнес-среды</w:t>
      </w:r>
      <w:proofErr w:type="gramEnd"/>
      <w:r w:rsidRPr="009F55A7">
        <w:rPr>
          <w:sz w:val="28"/>
          <w:szCs w:val="28"/>
          <w:lang w:eastAsia="ru-RU"/>
        </w:rPr>
        <w:t xml:space="preserve"> обеспечить постоянное снижение административных барьеров и создать условия безболезненно вести бизнес в стране, и с другой стороны для нас эффективно реализовать фискальные функции Комитета.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Коротко остановлюсь на инициативе, к которой мы приступили с 1 января – это  разработка объединенного Кодекса государственных доходов, с установлением единого механизма администрирования налогов и таможенных платежей, унификацией налоговых и таможенных процедур и оптимизацией бизнес-процессов администрирования.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Наличие законодательных различий в процедурах налогового и таможенного администрирования (порядок учета, взимания, проведения контроля, апелляций, оказания услуг и т.д.) и как следствие разрыв бизнес-процессов и подходов в  администрировании.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Приведу пример из сферы налогообложения </w:t>
      </w:r>
      <w:proofErr w:type="spellStart"/>
      <w:r w:rsidRPr="009F55A7">
        <w:rPr>
          <w:sz w:val="28"/>
          <w:szCs w:val="28"/>
          <w:lang w:eastAsia="ru-RU"/>
        </w:rPr>
        <w:t>недропользователей</w:t>
      </w:r>
      <w:proofErr w:type="spellEnd"/>
      <w:r w:rsidRPr="009F55A7">
        <w:rPr>
          <w:sz w:val="28"/>
          <w:szCs w:val="28"/>
          <w:lang w:eastAsia="ru-RU"/>
        </w:rPr>
        <w:t xml:space="preserve">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В рамках разработки проекта Кодекса о недрах предполагается изменение концептуальных подходов по учету и оценке полезных ископаемых.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Также существуют значительные различия в условиях разработки месторождений и переработки полезных ископаемых (на практике </w:t>
      </w:r>
      <w:proofErr w:type="spellStart"/>
      <w:r w:rsidRPr="009F55A7">
        <w:rPr>
          <w:sz w:val="28"/>
          <w:szCs w:val="28"/>
          <w:lang w:eastAsia="ru-RU"/>
        </w:rPr>
        <w:t>недропользователи</w:t>
      </w:r>
      <w:proofErr w:type="spellEnd"/>
      <w:r w:rsidRPr="009F55A7">
        <w:rPr>
          <w:sz w:val="28"/>
          <w:szCs w:val="28"/>
          <w:lang w:eastAsia="ru-RU"/>
        </w:rPr>
        <w:t xml:space="preserve"> горнорудного сектора преимущественно осуществляют полный цикл работ от добычи (контрактная деятельность) до последующей металлургической переработки добытого сырья (</w:t>
      </w:r>
      <w:proofErr w:type="spellStart"/>
      <w:r w:rsidRPr="009F55A7">
        <w:rPr>
          <w:sz w:val="28"/>
          <w:szCs w:val="28"/>
          <w:lang w:eastAsia="ru-RU"/>
        </w:rPr>
        <w:t>внеконтрактная</w:t>
      </w:r>
      <w:proofErr w:type="spellEnd"/>
      <w:r w:rsidRPr="009F55A7">
        <w:rPr>
          <w:sz w:val="28"/>
          <w:szCs w:val="28"/>
          <w:lang w:eastAsia="ru-RU"/>
        </w:rPr>
        <w:t>)</w:t>
      </w:r>
      <w:proofErr w:type="gramStart"/>
      <w:r w:rsidRPr="009F55A7">
        <w:rPr>
          <w:sz w:val="28"/>
          <w:szCs w:val="28"/>
          <w:lang w:eastAsia="ru-RU"/>
        </w:rPr>
        <w:t>.П</w:t>
      </w:r>
      <w:proofErr w:type="gramEnd"/>
      <w:r w:rsidRPr="009F55A7">
        <w:rPr>
          <w:sz w:val="28"/>
          <w:szCs w:val="28"/>
          <w:lang w:eastAsia="ru-RU"/>
        </w:rPr>
        <w:t>ри этом доход по контрактной деятельности определяется как себестоимость, увеличенная на 20%, соответственно, рентабельность по контрактной деятельности не достигает 25 % и налог на сверхприбыль не возникает).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Предлагается: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обсудить вопрос введения дифференцированного подхода к налогообложению углеводородного сырья и ТПИ, в том числе урана, по всем специальным налогам и платежам </w:t>
      </w:r>
      <w:proofErr w:type="spellStart"/>
      <w:r w:rsidRPr="009F55A7">
        <w:rPr>
          <w:sz w:val="28"/>
          <w:szCs w:val="28"/>
          <w:lang w:eastAsia="ru-RU"/>
        </w:rPr>
        <w:t>недропользователей</w:t>
      </w:r>
      <w:proofErr w:type="spellEnd"/>
      <w:r w:rsidRPr="009F55A7">
        <w:rPr>
          <w:sz w:val="28"/>
          <w:szCs w:val="28"/>
          <w:lang w:eastAsia="ru-RU"/>
        </w:rPr>
        <w:t>: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- для ТПИ отменить налог на сверхприбыль с переносом налоговой нагрузки на другие виды налогов;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(Справочно: из 150-ти </w:t>
      </w:r>
      <w:proofErr w:type="spellStart"/>
      <w:r w:rsidRPr="009F55A7">
        <w:rPr>
          <w:sz w:val="28"/>
          <w:szCs w:val="28"/>
          <w:lang w:eastAsia="ru-RU"/>
        </w:rPr>
        <w:t>недропользователей</w:t>
      </w:r>
      <w:proofErr w:type="spellEnd"/>
      <w:r w:rsidRPr="009F55A7">
        <w:rPr>
          <w:sz w:val="28"/>
          <w:szCs w:val="28"/>
          <w:lang w:eastAsia="ru-RU"/>
        </w:rPr>
        <w:t xml:space="preserve"> горнорудного сектора за 2014 год налог на сверхприбыль возник только у 7-ми)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lastRenderedPageBreak/>
        <w:t xml:space="preserve">- для углеводородного сырья сохранить текущий </w:t>
      </w:r>
      <w:proofErr w:type="gramStart"/>
      <w:r w:rsidRPr="009F55A7">
        <w:rPr>
          <w:sz w:val="28"/>
          <w:szCs w:val="28"/>
          <w:lang w:eastAsia="ru-RU"/>
        </w:rPr>
        <w:t>налоговой</w:t>
      </w:r>
      <w:proofErr w:type="gramEnd"/>
      <w:r w:rsidRPr="009F55A7">
        <w:rPr>
          <w:sz w:val="28"/>
          <w:szCs w:val="28"/>
          <w:lang w:eastAsia="ru-RU"/>
        </w:rPr>
        <w:t xml:space="preserve"> режим, предусматривающий уплату, в том числе, платежа по возмещению исторических затрат, НДПИ, НСП, рентного налога на экспорт и подписного бонуса.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 xml:space="preserve">Также, Концепцией проекта Кодекса о недрах предполагается изменение границ контрактной деятельности. 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proofErr w:type="gramStart"/>
      <w:r w:rsidRPr="009F55A7">
        <w:rPr>
          <w:sz w:val="28"/>
          <w:szCs w:val="28"/>
          <w:lang w:eastAsia="ru-RU"/>
        </w:rPr>
        <w:t xml:space="preserve">В этой связи, в проекте Единого кодекса  рассматривается возможность законодательного установления более детального порядка ведения раздельного налогового учета между контрактной и </w:t>
      </w:r>
      <w:proofErr w:type="spellStart"/>
      <w:r w:rsidRPr="009F55A7">
        <w:rPr>
          <w:sz w:val="28"/>
          <w:szCs w:val="28"/>
          <w:lang w:eastAsia="ru-RU"/>
        </w:rPr>
        <w:t>внеконтрактной</w:t>
      </w:r>
      <w:proofErr w:type="spellEnd"/>
      <w:r w:rsidRPr="009F55A7">
        <w:rPr>
          <w:sz w:val="28"/>
          <w:szCs w:val="28"/>
          <w:lang w:eastAsia="ru-RU"/>
        </w:rPr>
        <w:t xml:space="preserve"> деятельностями (определение себестоимости, распределение доходов и расходов между контрактной и </w:t>
      </w:r>
      <w:proofErr w:type="spellStart"/>
      <w:r w:rsidRPr="009F55A7">
        <w:rPr>
          <w:sz w:val="28"/>
          <w:szCs w:val="28"/>
          <w:lang w:eastAsia="ru-RU"/>
        </w:rPr>
        <w:t>внеконтрактной</w:t>
      </w:r>
      <w:proofErr w:type="spellEnd"/>
      <w:r w:rsidRPr="009F55A7">
        <w:rPr>
          <w:sz w:val="28"/>
          <w:szCs w:val="28"/>
          <w:lang w:eastAsia="ru-RU"/>
        </w:rPr>
        <w:t xml:space="preserve"> деятельностями, определение уполномоченным органом границы добычи и первичной переработки).</w:t>
      </w:r>
      <w:proofErr w:type="gramEnd"/>
    </w:p>
    <w:p w:rsidR="009E1D45" w:rsidRPr="009F55A7" w:rsidRDefault="009E1D45" w:rsidP="009E1D45">
      <w:pPr>
        <w:rPr>
          <w:sz w:val="28"/>
          <w:szCs w:val="28"/>
          <w:lang w:eastAsia="ru-RU"/>
        </w:rPr>
      </w:pPr>
      <w:r w:rsidRPr="009F55A7">
        <w:rPr>
          <w:sz w:val="28"/>
          <w:szCs w:val="28"/>
          <w:lang w:eastAsia="ru-RU"/>
        </w:rPr>
        <w:t>Наряду с этим, предлагается исключить бонус коммерческого обнаружения с переносом нагрузки на НДПИ, так как по своей сути бонус коммерческого обнаружения является «авансовым платежом» за добычу полезных ископаемых.</w:t>
      </w:r>
    </w:p>
    <w:p w:rsidR="009E1D45" w:rsidRPr="009F55A7" w:rsidRDefault="009E1D45" w:rsidP="009E1D45">
      <w:pPr>
        <w:rPr>
          <w:sz w:val="28"/>
          <w:szCs w:val="28"/>
          <w:lang w:eastAsia="ru-RU"/>
        </w:rPr>
      </w:pPr>
      <w:proofErr w:type="gramStart"/>
      <w:r w:rsidRPr="009F55A7">
        <w:rPr>
          <w:sz w:val="28"/>
          <w:szCs w:val="28"/>
          <w:lang w:eastAsia="ru-RU"/>
        </w:rPr>
        <w:t>Пользуясь, предоставленной площадкой еще раз хочу поблагодарить за возможность диалога и  подчеркнуть, что я вижу администрирование государственных доходов и совершенствование нашей деятельности как один комплекс мер, с непрерывностью данного процесса, как говорят: «совершенству нет предела», с другой стороны, отрадно отметить наглядную активизацию бизнес-среды в эффективности взаимодействия с государством, от такого совместного сотрудничества в результате я ожидаю не только повышения эффективности</w:t>
      </w:r>
      <w:proofErr w:type="gramEnd"/>
      <w:r w:rsidRPr="009F55A7">
        <w:rPr>
          <w:sz w:val="28"/>
          <w:szCs w:val="28"/>
          <w:lang w:eastAsia="ru-RU"/>
        </w:rPr>
        <w:t xml:space="preserve"> функционирования системы государственного управления, но и стабильный рост предпринимательской активности в казахстанской экономике.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45"/>
    <w:rsid w:val="005E0339"/>
    <w:rsid w:val="00627D0A"/>
    <w:rsid w:val="009E1D45"/>
    <w:rsid w:val="00A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2016-11-05T08:10:00Z</dcterms:created>
  <dcterms:modified xsi:type="dcterms:W3CDTF">2016-11-05T08:15:00Z</dcterms:modified>
</cp:coreProperties>
</file>