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613DA4">
        <w:rPr>
          <w:rFonts w:ascii="Times New Roman" w:hAnsi="Times New Roman"/>
          <w:sz w:val="24"/>
          <w:szCs w:val="28"/>
        </w:rPr>
        <w:t xml:space="preserve">1 квартал </w:t>
      </w:r>
      <w:r w:rsidRPr="00C87B59">
        <w:rPr>
          <w:rFonts w:ascii="Times New Roman" w:hAnsi="Times New Roman"/>
          <w:sz w:val="24"/>
          <w:szCs w:val="28"/>
        </w:rPr>
        <w:t>201</w:t>
      </w:r>
      <w:r w:rsidR="00613DA4">
        <w:rPr>
          <w:rFonts w:ascii="Times New Roman" w:hAnsi="Times New Roman"/>
          <w:sz w:val="24"/>
          <w:szCs w:val="28"/>
        </w:rPr>
        <w:t>7</w:t>
      </w:r>
      <w:r w:rsidRPr="00C87B59">
        <w:rPr>
          <w:rFonts w:ascii="Times New Roman" w:hAnsi="Times New Roman"/>
          <w:sz w:val="24"/>
          <w:szCs w:val="28"/>
        </w:rPr>
        <w:t xml:space="preserve"> год</w:t>
      </w:r>
      <w:r w:rsidR="00613DA4">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156B42" w:rsidRPr="00760AF1" w:rsidTr="006952A7">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156B42" w:rsidRPr="00760AF1" w:rsidRDefault="00156B42"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6 161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2 612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2 490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547 441</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14</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2 439</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6 161</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156B42" w:rsidRPr="00760AF1" w:rsidRDefault="00156B42"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4 392</w:t>
            </w:r>
          </w:p>
        </w:tc>
        <w:tc>
          <w:tcPr>
            <w:tcW w:w="1413"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902</w:t>
            </w:r>
          </w:p>
        </w:tc>
        <w:tc>
          <w:tcPr>
            <w:tcW w:w="1422"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771</w:t>
            </w:r>
          </w:p>
        </w:tc>
        <w:tc>
          <w:tcPr>
            <w:tcW w:w="1418"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519 674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2 389</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4 392</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5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w:t>
            </w:r>
            <w:r w:rsidRPr="00760AF1">
              <w:rPr>
                <w:rFonts w:ascii="Times New Roman" w:hAnsi="Times New Roman"/>
                <w:sz w:val="20"/>
                <w:szCs w:val="20"/>
              </w:rPr>
              <w:lastRenderedPageBreak/>
              <w:t>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w:t>
            </w:r>
            <w:r w:rsidRPr="00760AF1">
              <w:rPr>
                <w:rFonts w:ascii="Times New Roman" w:hAnsi="Times New Roman"/>
                <w:sz w:val="20"/>
                <w:szCs w:val="20"/>
              </w:rPr>
              <w:lastRenderedPageBreak/>
              <w:t>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3680</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784</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647</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224 445</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1 918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49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403</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66</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92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37 908</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268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7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309</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257 321</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203</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2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60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769</w:t>
            </w:r>
          </w:p>
        </w:tc>
        <w:tc>
          <w:tcPr>
            <w:tcW w:w="1413" w:type="dxa"/>
            <w:tcBorders>
              <w:top w:val="nil"/>
              <w:left w:val="single" w:sz="4" w:space="0" w:color="auto"/>
              <w:bottom w:val="single" w:sz="4" w:space="0" w:color="auto"/>
              <w:right w:val="nil"/>
            </w:tcBorders>
            <w:shd w:val="clear" w:color="auto" w:fill="auto"/>
            <w:noWrap/>
            <w:vAlign w:val="center"/>
          </w:tcPr>
          <w:p w:rsidR="00156B42" w:rsidRPr="006952A7" w:rsidRDefault="006952A7" w:rsidP="006952A7">
            <w:pPr>
              <w:spacing w:after="0" w:line="240" w:lineRule="auto"/>
              <w:jc w:val="center"/>
              <w:rPr>
                <w:rFonts w:ascii="Times New Roman" w:hAnsi="Times New Roman"/>
                <w:sz w:val="20"/>
                <w:szCs w:val="20"/>
              </w:rPr>
            </w:pPr>
            <w:r>
              <w:rPr>
                <w:rFonts w:ascii="Times New Roman" w:hAnsi="Times New Roman"/>
                <w:sz w:val="20"/>
                <w:szCs w:val="20"/>
              </w:rPr>
              <w:t xml:space="preserve"> </w:t>
            </w:r>
            <w:r w:rsidR="00156B42" w:rsidRPr="006952A7">
              <w:rPr>
                <w:rFonts w:ascii="Times New Roman" w:hAnsi="Times New Roman"/>
                <w:sz w:val="20"/>
                <w:szCs w:val="20"/>
              </w:rPr>
              <w:t>1</w:t>
            </w:r>
            <w:r>
              <w:rPr>
                <w:rFonts w:ascii="Times New Roman" w:hAnsi="Times New Roman"/>
                <w:sz w:val="20"/>
                <w:szCs w:val="20"/>
              </w:rPr>
              <w:t xml:space="preserve"> </w:t>
            </w:r>
            <w:r w:rsidR="00156B42" w:rsidRPr="006952A7">
              <w:rPr>
                <w:rFonts w:ascii="Times New Roman" w:hAnsi="Times New Roman"/>
                <w:sz w:val="20"/>
                <w:szCs w:val="20"/>
              </w:rPr>
              <w:t>710</w:t>
            </w:r>
          </w:p>
        </w:tc>
        <w:tc>
          <w:tcPr>
            <w:tcW w:w="1422"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719</w:t>
            </w:r>
          </w:p>
        </w:tc>
        <w:tc>
          <w:tcPr>
            <w:tcW w:w="1418"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27</w:t>
            </w:r>
            <w:r w:rsidR="006952A7">
              <w:rPr>
                <w:rFonts w:ascii="Times New Roman" w:hAnsi="Times New Roman"/>
                <w:sz w:val="20"/>
                <w:szCs w:val="20"/>
              </w:rPr>
              <w:t xml:space="preserve"> </w:t>
            </w:r>
            <w:r w:rsidRPr="006952A7">
              <w:rPr>
                <w:rFonts w:ascii="Times New Roman" w:hAnsi="Times New Roman"/>
                <w:sz w:val="20"/>
                <w:szCs w:val="20"/>
              </w:rPr>
              <w:t>768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156B42" w:rsidRPr="00760AF1" w:rsidRDefault="00156B42"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156B42" w:rsidRPr="00760AF1" w:rsidRDefault="00156B42"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7</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r w:rsidR="006952A7">
              <w:rPr>
                <w:rFonts w:ascii="Times New Roman" w:hAnsi="Times New Roman"/>
                <w:sz w:val="20"/>
                <w:szCs w:val="20"/>
              </w:rPr>
              <w:t xml:space="preserve"> </w:t>
            </w:r>
            <w:r w:rsidRPr="006952A7">
              <w:rPr>
                <w:rFonts w:ascii="Times New Roman" w:hAnsi="Times New Roman"/>
                <w:sz w:val="20"/>
                <w:szCs w:val="20"/>
              </w:rPr>
              <w:t>321</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684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671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669</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21</w:t>
            </w:r>
            <w:r w:rsidR="006952A7">
              <w:rPr>
                <w:rFonts w:ascii="Times New Roman" w:hAnsi="Times New Roman"/>
                <w:sz w:val="20"/>
                <w:szCs w:val="20"/>
              </w:rPr>
              <w:t xml:space="preserve"> </w:t>
            </w:r>
            <w:r w:rsidRPr="006952A7">
              <w:rPr>
                <w:rFonts w:ascii="Times New Roman" w:hAnsi="Times New Roman"/>
                <w:sz w:val="20"/>
                <w:szCs w:val="20"/>
              </w:rPr>
              <w:t>024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15</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Физическ</w:t>
            </w:r>
            <w:r w:rsidRPr="00760AF1">
              <w:rPr>
                <w:rFonts w:ascii="Times New Roman" w:hAnsi="Times New Roman"/>
                <w:sz w:val="20"/>
                <w:szCs w:val="20"/>
              </w:rPr>
              <w:lastRenderedPageBreak/>
              <w:t>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12</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58</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422</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C23AFD"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p>
        </w:tc>
      </w:tr>
      <w:tr w:rsidR="00C23AFD" w:rsidRPr="00760AF1" w:rsidTr="006952A7">
        <w:trPr>
          <w:trHeight w:val="5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w:t>
            </w:r>
            <w:r w:rsidRPr="00760AF1">
              <w:rPr>
                <w:rFonts w:ascii="Times New Roman" w:hAnsi="Times New Roman"/>
                <w:sz w:val="20"/>
                <w:szCs w:val="20"/>
              </w:rPr>
              <w:lastRenderedPageBreak/>
              <w:t>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1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60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156B42" w:rsidRPr="00760AF1" w:rsidRDefault="00156B42"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55</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236 754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26</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233 670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26</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4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17</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23 619</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34 769</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7</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175 283</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209 387</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22</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C23AFD"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52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r w:rsidR="006952A7">
              <w:rPr>
                <w:rFonts w:ascii="Times New Roman" w:hAnsi="Times New Roman"/>
                <w:sz w:val="20"/>
                <w:szCs w:val="20"/>
              </w:rPr>
              <w:t xml:space="preserve"> </w:t>
            </w:r>
            <w:r w:rsidRPr="006952A7">
              <w:rPr>
                <w:rFonts w:ascii="Times New Roman" w:hAnsi="Times New Roman"/>
                <w:sz w:val="20"/>
                <w:szCs w:val="20"/>
              </w:rPr>
              <w:t>084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49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156B42" w:rsidRPr="00760AF1" w:rsidRDefault="00156B42"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156B42" w:rsidRPr="00760AF1" w:rsidRDefault="00156B42"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89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r w:rsidR="006952A7">
              <w:rPr>
                <w:rFonts w:ascii="Times New Roman" w:hAnsi="Times New Roman"/>
                <w:sz w:val="20"/>
                <w:szCs w:val="20"/>
              </w:rPr>
              <w:t xml:space="preserve"> </w:t>
            </w:r>
            <w:r w:rsidRPr="006952A7">
              <w:rPr>
                <w:rFonts w:ascii="Times New Roman" w:hAnsi="Times New Roman"/>
                <w:sz w:val="20"/>
                <w:szCs w:val="20"/>
              </w:rPr>
              <w:t>084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946"/>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3"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2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BA617D" w:rsidRPr="00760AF1" w:rsidTr="006952A7">
        <w:trPr>
          <w:trHeight w:val="473"/>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71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1406"/>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156B42" w:rsidRPr="00760AF1" w:rsidRDefault="00156B42"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r w:rsidR="006952A7">
              <w:rPr>
                <w:rFonts w:ascii="Times New Roman" w:hAnsi="Times New Roman"/>
                <w:sz w:val="20"/>
                <w:szCs w:val="20"/>
              </w:rPr>
              <w:t xml:space="preserve"> </w:t>
            </w:r>
            <w:r w:rsidRPr="006952A7">
              <w:rPr>
                <w:rFonts w:ascii="Times New Roman" w:hAnsi="Times New Roman"/>
                <w:sz w:val="20"/>
                <w:szCs w:val="20"/>
              </w:rPr>
              <w:t>106</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sidR="006952A7">
              <w:rPr>
                <w:rFonts w:ascii="Times New Roman" w:hAnsi="Times New Roman"/>
                <w:sz w:val="20"/>
                <w:szCs w:val="20"/>
              </w:rPr>
              <w:t xml:space="preserve"> </w:t>
            </w:r>
            <w:r w:rsidRPr="006952A7">
              <w:rPr>
                <w:rFonts w:ascii="Times New Roman" w:hAnsi="Times New Roman"/>
                <w:sz w:val="20"/>
                <w:szCs w:val="20"/>
              </w:rPr>
              <w:t>571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sidR="006952A7">
              <w:rPr>
                <w:rFonts w:ascii="Times New Roman" w:hAnsi="Times New Roman"/>
                <w:sz w:val="20"/>
                <w:szCs w:val="20"/>
              </w:rPr>
              <w:t xml:space="preserve"> </w:t>
            </w:r>
            <w:r w:rsidRPr="006952A7">
              <w:rPr>
                <w:rFonts w:ascii="Times New Roman" w:hAnsi="Times New Roman"/>
                <w:sz w:val="20"/>
                <w:szCs w:val="20"/>
              </w:rPr>
              <w:t>442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310</w:t>
            </w:r>
            <w:r w:rsidR="006952A7">
              <w:rPr>
                <w:rFonts w:ascii="Times New Roman" w:hAnsi="Times New Roman"/>
                <w:sz w:val="20"/>
                <w:szCs w:val="20"/>
              </w:rPr>
              <w:t xml:space="preserve"> </w:t>
            </w:r>
            <w:r w:rsidRPr="006952A7">
              <w:rPr>
                <w:rFonts w:ascii="Times New Roman" w:hAnsi="Times New Roman"/>
                <w:sz w:val="20"/>
                <w:szCs w:val="20"/>
              </w:rPr>
              <w:t>687</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14</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sidR="006952A7">
              <w:rPr>
                <w:rFonts w:ascii="Times New Roman" w:hAnsi="Times New Roman"/>
                <w:sz w:val="20"/>
                <w:szCs w:val="20"/>
              </w:rPr>
              <w:t xml:space="preserve"> </w:t>
            </w:r>
            <w:r w:rsidRPr="006952A7">
              <w:rPr>
                <w:rFonts w:ascii="Times New Roman" w:hAnsi="Times New Roman"/>
                <w:sz w:val="20"/>
                <w:szCs w:val="20"/>
              </w:rPr>
              <w:t>413</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156B42" w:rsidRPr="006952A7" w:rsidRDefault="00156B42" w:rsidP="006952A7">
            <w:pPr>
              <w:spacing w:after="0" w:line="240" w:lineRule="auto"/>
              <w:jc w:val="center"/>
              <w:rPr>
                <w:rFonts w:ascii="Times New Roman" w:hAnsi="Times New Roman"/>
                <w:sz w:val="20"/>
                <w:szCs w:val="20"/>
              </w:rPr>
            </w:pPr>
          </w:p>
        </w:tc>
      </w:tr>
      <w:tr w:rsidR="006952A7" w:rsidRPr="00760AF1" w:rsidTr="006952A7">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6952A7" w:rsidRPr="00760AF1" w:rsidRDefault="006952A7"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w:t>
            </w:r>
            <w:r>
              <w:rPr>
                <w:rFonts w:ascii="Times New Roman" w:hAnsi="Times New Roman"/>
                <w:sz w:val="20"/>
                <w:szCs w:val="20"/>
              </w:rPr>
              <w:t xml:space="preserve"> </w:t>
            </w:r>
            <w:r w:rsidRPr="006952A7">
              <w:rPr>
                <w:rFonts w:ascii="Times New Roman" w:hAnsi="Times New Roman"/>
                <w:sz w:val="20"/>
                <w:szCs w:val="20"/>
              </w:rPr>
              <w:t>338</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862</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727</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286</w:t>
            </w:r>
            <w:r>
              <w:rPr>
                <w:rFonts w:ascii="Times New Roman" w:hAnsi="Times New Roman"/>
                <w:sz w:val="20"/>
                <w:szCs w:val="20"/>
              </w:rPr>
              <w:t xml:space="preserve"> </w:t>
            </w:r>
            <w:r w:rsidRPr="006952A7">
              <w:rPr>
                <w:rFonts w:ascii="Times New Roman" w:hAnsi="Times New Roman"/>
                <w:sz w:val="20"/>
                <w:szCs w:val="20"/>
              </w:rPr>
              <w:t>003</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Pr>
                <w:rFonts w:ascii="Times New Roman" w:hAnsi="Times New Roman"/>
                <w:sz w:val="20"/>
                <w:szCs w:val="20"/>
              </w:rPr>
              <w:t xml:space="preserve"> </w:t>
            </w:r>
            <w:r w:rsidRPr="006952A7">
              <w:rPr>
                <w:rFonts w:ascii="Times New Roman" w:hAnsi="Times New Roman"/>
                <w:sz w:val="20"/>
                <w:szCs w:val="20"/>
              </w:rPr>
              <w:t>363</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58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6952A7" w:rsidRPr="00760AF1" w:rsidRDefault="006952A7"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3 649</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767</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629</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200 826</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1 905</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80"/>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392</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55</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80</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3 139</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261</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52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297</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40</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18</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82 038</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197</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BA617D" w:rsidRPr="00760AF1" w:rsidTr="006952A7">
        <w:trPr>
          <w:trHeight w:val="64"/>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184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3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6952A7" w:rsidRPr="00760AF1" w:rsidTr="006952A7">
        <w:trPr>
          <w:trHeight w:val="600"/>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768</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709</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715</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r>
              <w:rPr>
                <w:rFonts w:ascii="Times New Roman" w:hAnsi="Times New Roman"/>
                <w:sz w:val="20"/>
                <w:szCs w:val="20"/>
              </w:rPr>
              <w:t xml:space="preserve"> </w:t>
            </w:r>
            <w:r w:rsidRPr="006952A7">
              <w:rPr>
                <w:rFonts w:ascii="Times New Roman" w:hAnsi="Times New Roman"/>
                <w:sz w:val="20"/>
                <w:szCs w:val="20"/>
              </w:rPr>
              <w:t>684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50</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3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6952A7" w:rsidRPr="00760AF1" w:rsidRDefault="006952A7"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6952A7" w:rsidRPr="00760AF1" w:rsidRDefault="006952A7"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6952A7" w:rsidRPr="00760AF1" w:rsidRDefault="006952A7"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31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23</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3237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0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684</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671</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669</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21</w:t>
            </w:r>
            <w:r>
              <w:rPr>
                <w:rFonts w:ascii="Times New Roman" w:hAnsi="Times New Roman"/>
                <w:sz w:val="20"/>
                <w:szCs w:val="20"/>
              </w:rPr>
              <w:t xml:space="preserve"> </w:t>
            </w:r>
            <w:r w:rsidRPr="006952A7">
              <w:rPr>
                <w:rFonts w:ascii="Times New Roman" w:hAnsi="Times New Roman"/>
                <w:sz w:val="20"/>
                <w:szCs w:val="20"/>
              </w:rPr>
              <w:t>024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15</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0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58</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30</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42</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422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48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BA617D" w:rsidRPr="00760AF1" w:rsidRDefault="00BA617D"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6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 </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2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4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 </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 </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68"/>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57EA9B36" wp14:editId="5E5158BB">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427C2F" w:rsidP="00B321C8">
            <w:pPr>
              <w:spacing w:after="0" w:line="240" w:lineRule="auto"/>
              <w:jc w:val="center"/>
              <w:rPr>
                <w:rFonts w:ascii="Times New Roman" w:hAnsi="Times New Roman"/>
                <w:sz w:val="24"/>
                <w:szCs w:val="24"/>
              </w:rPr>
            </w:pPr>
            <w:r w:rsidRPr="00427C2F">
              <w:rPr>
                <w:rFonts w:ascii="Times New Roman" w:hAnsi="Times New Roman"/>
                <w:sz w:val="24"/>
                <w:szCs w:val="24"/>
              </w:rPr>
              <w:t>18 056 993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(строка 6), в том числе</w:t>
      </w:r>
      <w:r w:rsidR="00955691">
        <w:rPr>
          <w:rFonts w:ascii="Times New Roman" w:hAnsi="Times New Roman"/>
          <w:sz w:val="28"/>
          <w:szCs w:val="28"/>
          <w:lang w:val="kk-KZ"/>
        </w:rPr>
        <w:t xml:space="preserve"> </w:t>
      </w:r>
      <w:r w:rsidR="005C289A" w:rsidRPr="00760AF1">
        <w:rPr>
          <w:rFonts w:ascii="Times New Roman" w:hAnsi="Times New Roman"/>
          <w:sz w:val="28"/>
          <w:szCs w:val="28"/>
          <w:lang w:val="kk-KZ"/>
        </w:rPr>
        <w:t xml:space="preserve">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955691" w:rsidRDefault="00955691" w:rsidP="005C289A">
      <w:pPr>
        <w:spacing w:after="0" w:line="240" w:lineRule="auto"/>
        <w:contextualSpacing/>
        <w:jc w:val="center"/>
        <w:rPr>
          <w:rFonts w:ascii="Times New Roman" w:hAnsi="Times New Roman"/>
          <w:b/>
          <w:sz w:val="24"/>
          <w:szCs w:val="28"/>
        </w:rPr>
      </w:pPr>
    </w:p>
    <w:tbl>
      <w:tblPr>
        <w:tblW w:w="10070" w:type="dxa"/>
        <w:tblInd w:w="103" w:type="dxa"/>
        <w:tblLayout w:type="fixed"/>
        <w:tblLook w:val="04A0" w:firstRow="1" w:lastRow="0" w:firstColumn="1" w:lastColumn="0" w:noHBand="0" w:noVBand="1"/>
      </w:tblPr>
      <w:tblGrid>
        <w:gridCol w:w="417"/>
        <w:gridCol w:w="1715"/>
        <w:gridCol w:w="992"/>
        <w:gridCol w:w="850"/>
        <w:gridCol w:w="851"/>
        <w:gridCol w:w="992"/>
        <w:gridCol w:w="567"/>
        <w:gridCol w:w="1134"/>
        <w:gridCol w:w="861"/>
        <w:gridCol w:w="557"/>
        <w:gridCol w:w="567"/>
        <w:gridCol w:w="567"/>
      </w:tblGrid>
      <w:tr w:rsidR="00955691" w:rsidRPr="00955691" w:rsidTr="00EB79E2">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623785">
              <w:rPr>
                <w:rFonts w:ascii="Times New Roman" w:eastAsia="Times New Roman" w:hAnsi="Times New Roman" w:cs="Times New Roman"/>
                <w:b/>
                <w:bCs/>
                <w:sz w:val="20"/>
                <w:szCs w:val="20"/>
              </w:rPr>
              <w:t>Всего</w:t>
            </w:r>
          </w:p>
        </w:tc>
        <w:tc>
          <w:tcPr>
            <w:tcW w:w="6946" w:type="dxa"/>
            <w:gridSpan w:val="9"/>
            <w:tcBorders>
              <w:top w:val="single" w:sz="4" w:space="0" w:color="auto"/>
              <w:left w:val="nil"/>
              <w:bottom w:val="single" w:sz="4" w:space="0" w:color="auto"/>
              <w:right w:val="single" w:sz="4" w:space="0" w:color="auto"/>
            </w:tcBorders>
            <w:shd w:val="clear" w:color="auto" w:fill="auto"/>
            <w:noWrap/>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из графы 2 в разрезе:</w:t>
            </w:r>
          </w:p>
        </w:tc>
      </w:tr>
      <w:tr w:rsidR="00955691" w:rsidRPr="00955691" w:rsidTr="00EB79E2">
        <w:trPr>
          <w:trHeight w:val="3000"/>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955691" w:rsidRPr="00955691" w:rsidRDefault="00955691" w:rsidP="00955691">
            <w:pPr>
              <w:spacing w:after="0" w:line="240" w:lineRule="auto"/>
              <w:rPr>
                <w:rFonts w:ascii="Times New Roman" w:eastAsia="Times New Roman" w:hAnsi="Times New Roman" w:cs="Times New Roman"/>
                <w:b/>
                <w:bCs/>
                <w:sz w:val="20"/>
                <w:szCs w:val="2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955691" w:rsidRPr="00955691" w:rsidRDefault="00955691" w:rsidP="00955691">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noWrap/>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Предупреждение</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Административный штраф</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Конфискация предмета административного правонарушения</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Лишение специального права</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Лишение или приостановление действия разрешительного документа, в том числе лицензии</w:t>
            </w:r>
          </w:p>
        </w:tc>
        <w:tc>
          <w:tcPr>
            <w:tcW w:w="861"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Приостановление или запрещение деятельности</w:t>
            </w:r>
          </w:p>
        </w:tc>
        <w:tc>
          <w:tcPr>
            <w:tcW w:w="55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Принудительный снос</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Административный арест</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xml:space="preserve">Административное </w:t>
            </w:r>
            <w:proofErr w:type="gramStart"/>
            <w:r w:rsidRPr="00955691">
              <w:rPr>
                <w:rFonts w:ascii="Times New Roman" w:eastAsia="Times New Roman" w:hAnsi="Times New Roman" w:cs="Times New Roman"/>
                <w:b/>
                <w:bCs/>
                <w:sz w:val="20"/>
                <w:szCs w:val="20"/>
              </w:rPr>
              <w:t>выдворение</w:t>
            </w:r>
            <w:proofErr w:type="gramEnd"/>
          </w:p>
        </w:tc>
      </w:tr>
      <w:tr w:rsidR="00955691" w:rsidRPr="00955691" w:rsidTr="00EB79E2">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w:t>
            </w:r>
          </w:p>
        </w:tc>
        <w:tc>
          <w:tcPr>
            <w:tcW w:w="1715"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w:t>
            </w:r>
          </w:p>
        </w:tc>
        <w:tc>
          <w:tcPr>
            <w:tcW w:w="992"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w:t>
            </w:r>
          </w:p>
        </w:tc>
        <w:tc>
          <w:tcPr>
            <w:tcW w:w="861"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55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r>
      <w:tr w:rsidR="00955691" w:rsidRPr="00955691" w:rsidTr="00EB79E2">
        <w:trPr>
          <w:trHeight w:val="5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715" w:type="dxa"/>
            <w:tcBorders>
              <w:top w:val="nil"/>
              <w:left w:val="nil"/>
              <w:bottom w:val="single" w:sz="4" w:space="0" w:color="auto"/>
              <w:right w:val="single" w:sz="4" w:space="0" w:color="auto"/>
            </w:tcBorders>
            <w:shd w:val="clear" w:color="auto" w:fill="auto"/>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Административные взыскания (количество)</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2518</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164</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2354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715" w:type="dxa"/>
            <w:tcBorders>
              <w:top w:val="nil"/>
              <w:left w:val="nil"/>
              <w:bottom w:val="single" w:sz="4" w:space="0" w:color="auto"/>
              <w:right w:val="single" w:sz="4" w:space="0" w:color="auto"/>
            </w:tcBorders>
            <w:shd w:val="clear" w:color="auto" w:fill="auto"/>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в том числе по статьям КоАП:</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i/>
                <w:iCs/>
                <w:sz w:val="20"/>
                <w:szCs w:val="20"/>
              </w:rPr>
            </w:pPr>
            <w:r w:rsidRPr="00955691">
              <w:rPr>
                <w:rFonts w:ascii="Times New Roman" w:eastAsia="Times New Roman" w:hAnsi="Times New Roman" w:cs="Times New Roman"/>
                <w:i/>
                <w:iCs/>
                <w:sz w:val="20"/>
                <w:szCs w:val="20"/>
              </w:rPr>
              <w:t>91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92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29</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25</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178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195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40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266</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269</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11</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276</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12</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277</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7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311</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311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14</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279</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15</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98</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283</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18</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20</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287</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21</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36</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lastRenderedPageBreak/>
              <w:t>22</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463</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164</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155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23</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571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1676</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1676</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821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bl>
    <w:p w:rsidR="00955691" w:rsidRDefault="00955691" w:rsidP="005C289A">
      <w:pPr>
        <w:spacing w:after="0" w:line="240" w:lineRule="auto"/>
        <w:contextualSpacing/>
        <w:jc w:val="center"/>
        <w:rPr>
          <w:rFonts w:ascii="Times New Roman" w:hAnsi="Times New Roman"/>
          <w:b/>
          <w:sz w:val="24"/>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5C289A" w:rsidP="00F91D79">
            <w:pPr>
              <w:spacing w:after="0" w:line="240" w:lineRule="auto"/>
              <w:jc w:val="center"/>
              <w:rPr>
                <w:rFonts w:ascii="Times New Roman" w:hAnsi="Times New Roman" w:cs="Times New Roman"/>
                <w:bCs/>
                <w:sz w:val="24"/>
                <w:szCs w:val="20"/>
              </w:rPr>
            </w:pP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36A50" w:rsidRPr="00760AF1" w:rsidTr="001C358F">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36A50" w:rsidRPr="00760AF1" w:rsidRDefault="00536A50"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36A50" w:rsidRPr="00760AF1" w:rsidRDefault="00536A50"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78</w:t>
            </w:r>
          </w:p>
        </w:tc>
        <w:tc>
          <w:tcPr>
            <w:tcW w:w="916"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24</w:t>
            </w:r>
          </w:p>
        </w:tc>
        <w:tc>
          <w:tcPr>
            <w:tcW w:w="688"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704"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54</w:t>
            </w:r>
          </w:p>
        </w:tc>
        <w:tc>
          <w:tcPr>
            <w:tcW w:w="956" w:type="dxa"/>
            <w:tcBorders>
              <w:top w:val="nil"/>
              <w:left w:val="nil"/>
              <w:bottom w:val="single" w:sz="4" w:space="0" w:color="auto"/>
              <w:right w:val="single" w:sz="4" w:space="0" w:color="auto"/>
            </w:tcBorders>
            <w:shd w:val="clear" w:color="auto" w:fill="auto"/>
            <w:noWrap/>
            <w:vAlign w:val="center"/>
            <w:hideMark/>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r>
      <w:tr w:rsidR="00536A50" w:rsidRPr="00760AF1" w:rsidTr="001C358F">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36A50" w:rsidRPr="00760AF1" w:rsidRDefault="00536A50"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36A50" w:rsidRPr="00760AF1" w:rsidRDefault="00536A50"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5</w:t>
            </w:r>
          </w:p>
        </w:tc>
        <w:tc>
          <w:tcPr>
            <w:tcW w:w="916"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3</w:t>
            </w:r>
          </w:p>
        </w:tc>
        <w:tc>
          <w:tcPr>
            <w:tcW w:w="688"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704"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2</w:t>
            </w:r>
          </w:p>
        </w:tc>
        <w:tc>
          <w:tcPr>
            <w:tcW w:w="956" w:type="dxa"/>
            <w:tcBorders>
              <w:top w:val="nil"/>
              <w:left w:val="nil"/>
              <w:bottom w:val="single" w:sz="4" w:space="0" w:color="auto"/>
              <w:right w:val="single" w:sz="4" w:space="0" w:color="auto"/>
            </w:tcBorders>
            <w:shd w:val="clear" w:color="auto" w:fill="auto"/>
            <w:noWrap/>
            <w:vAlign w:val="center"/>
            <w:hideMark/>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r>
      <w:tr w:rsidR="00536A50" w:rsidRPr="00760AF1" w:rsidTr="001C358F">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36A50" w:rsidRPr="00760AF1" w:rsidRDefault="00536A50"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36A50" w:rsidRPr="00760AF1" w:rsidRDefault="00536A50"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1</w:t>
            </w:r>
          </w:p>
        </w:tc>
        <w:tc>
          <w:tcPr>
            <w:tcW w:w="916"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1</w:t>
            </w:r>
          </w:p>
        </w:tc>
        <w:tc>
          <w:tcPr>
            <w:tcW w:w="688"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704"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956" w:type="dxa"/>
            <w:tcBorders>
              <w:top w:val="nil"/>
              <w:left w:val="nil"/>
              <w:bottom w:val="single" w:sz="4" w:space="0" w:color="auto"/>
              <w:right w:val="single" w:sz="4" w:space="0" w:color="auto"/>
            </w:tcBorders>
            <w:shd w:val="clear" w:color="000000" w:fill="FFFFFF"/>
            <w:noWrap/>
            <w:vAlign w:val="center"/>
            <w:hideMark/>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r>
      <w:tr w:rsidR="005C289A" w:rsidRPr="00760AF1" w:rsidTr="00E27259">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bookmarkStart w:id="0" w:name="_GoBack"/>
            <w:bookmarkEnd w:id="0"/>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28" w:rsidRDefault="00151728" w:rsidP="001F1A10">
      <w:pPr>
        <w:spacing w:after="0" w:line="240" w:lineRule="auto"/>
      </w:pPr>
      <w:r>
        <w:separator/>
      </w:r>
    </w:p>
  </w:endnote>
  <w:endnote w:type="continuationSeparator" w:id="0">
    <w:p w:rsidR="00151728" w:rsidRDefault="00151728"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28" w:rsidRDefault="00151728" w:rsidP="001F1A10">
      <w:pPr>
        <w:spacing w:after="0" w:line="240" w:lineRule="auto"/>
      </w:pPr>
      <w:r>
        <w:separator/>
      </w:r>
    </w:p>
  </w:footnote>
  <w:footnote w:type="continuationSeparator" w:id="0">
    <w:p w:rsidR="00151728" w:rsidRDefault="00151728"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91" w:rsidRPr="007E55E9" w:rsidRDefault="00955691"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536A50">
      <w:rPr>
        <w:rFonts w:ascii="Times New Roman" w:hAnsi="Times New Roman"/>
        <w:noProof/>
        <w:sz w:val="24"/>
        <w:szCs w:val="24"/>
      </w:rPr>
      <w:t>16</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59DB"/>
    <w:rsid w:val="0002662F"/>
    <w:rsid w:val="000338A7"/>
    <w:rsid w:val="00033A0E"/>
    <w:rsid w:val="0003476A"/>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728"/>
    <w:rsid w:val="001519E6"/>
    <w:rsid w:val="00151F48"/>
    <w:rsid w:val="001521F0"/>
    <w:rsid w:val="00154036"/>
    <w:rsid w:val="00156B42"/>
    <w:rsid w:val="0015756C"/>
    <w:rsid w:val="00161400"/>
    <w:rsid w:val="00161E1B"/>
    <w:rsid w:val="00163BFD"/>
    <w:rsid w:val="00165221"/>
    <w:rsid w:val="00167325"/>
    <w:rsid w:val="00171267"/>
    <w:rsid w:val="00175008"/>
    <w:rsid w:val="0017769B"/>
    <w:rsid w:val="00177770"/>
    <w:rsid w:val="00177D90"/>
    <w:rsid w:val="00177DE8"/>
    <w:rsid w:val="00181927"/>
    <w:rsid w:val="001845E2"/>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51CE"/>
    <w:rsid w:val="00205E11"/>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95A8F"/>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792B"/>
    <w:rsid w:val="0032044D"/>
    <w:rsid w:val="003229F4"/>
    <w:rsid w:val="00327A4B"/>
    <w:rsid w:val="00327A9E"/>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909ED"/>
    <w:rsid w:val="003969F8"/>
    <w:rsid w:val="00397003"/>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27C2F"/>
    <w:rsid w:val="00431FAE"/>
    <w:rsid w:val="00436504"/>
    <w:rsid w:val="004406A0"/>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36A50"/>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DA4"/>
    <w:rsid w:val="00613FA9"/>
    <w:rsid w:val="006152F6"/>
    <w:rsid w:val="0061778B"/>
    <w:rsid w:val="00617D51"/>
    <w:rsid w:val="00623785"/>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06D"/>
    <w:rsid w:val="0067475E"/>
    <w:rsid w:val="00674A4D"/>
    <w:rsid w:val="00674C77"/>
    <w:rsid w:val="0067754E"/>
    <w:rsid w:val="006776C7"/>
    <w:rsid w:val="006777F2"/>
    <w:rsid w:val="006817A3"/>
    <w:rsid w:val="006830AF"/>
    <w:rsid w:val="0068323D"/>
    <w:rsid w:val="00691BBB"/>
    <w:rsid w:val="006952A7"/>
    <w:rsid w:val="00695D85"/>
    <w:rsid w:val="006A0C4B"/>
    <w:rsid w:val="006A0F72"/>
    <w:rsid w:val="006A2040"/>
    <w:rsid w:val="006A2128"/>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06508"/>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14BE"/>
    <w:rsid w:val="00763E9B"/>
    <w:rsid w:val="00770EA2"/>
    <w:rsid w:val="0077144A"/>
    <w:rsid w:val="00772376"/>
    <w:rsid w:val="007735AE"/>
    <w:rsid w:val="00783349"/>
    <w:rsid w:val="00784CED"/>
    <w:rsid w:val="007851DD"/>
    <w:rsid w:val="00786323"/>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B3D"/>
    <w:rsid w:val="007E048E"/>
    <w:rsid w:val="007E2324"/>
    <w:rsid w:val="007E3B6F"/>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17DC1"/>
    <w:rsid w:val="00920465"/>
    <w:rsid w:val="00924052"/>
    <w:rsid w:val="00924397"/>
    <w:rsid w:val="00927639"/>
    <w:rsid w:val="00932BE8"/>
    <w:rsid w:val="009333D2"/>
    <w:rsid w:val="0093443D"/>
    <w:rsid w:val="0094414E"/>
    <w:rsid w:val="0095148D"/>
    <w:rsid w:val="0095313D"/>
    <w:rsid w:val="00953471"/>
    <w:rsid w:val="0095462B"/>
    <w:rsid w:val="00955691"/>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D553E"/>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21F1"/>
    <w:rsid w:val="00B75459"/>
    <w:rsid w:val="00B821DD"/>
    <w:rsid w:val="00B82DF2"/>
    <w:rsid w:val="00B86D76"/>
    <w:rsid w:val="00B90192"/>
    <w:rsid w:val="00B92440"/>
    <w:rsid w:val="00B95D1E"/>
    <w:rsid w:val="00BA1AD2"/>
    <w:rsid w:val="00BA2181"/>
    <w:rsid w:val="00BA5F68"/>
    <w:rsid w:val="00BA617D"/>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469EE"/>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6E11"/>
    <w:rsid w:val="00E00F8A"/>
    <w:rsid w:val="00E05E28"/>
    <w:rsid w:val="00E062A3"/>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9E2"/>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917716122">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8560-C729-4616-B32E-61868E3C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8</cp:revision>
  <cp:lastPrinted>2017-05-10T04:32:00Z</cp:lastPrinted>
  <dcterms:created xsi:type="dcterms:W3CDTF">2018-05-10T07:22:00Z</dcterms:created>
  <dcterms:modified xsi:type="dcterms:W3CDTF">2018-05-10T07:30:00Z</dcterms:modified>
</cp:coreProperties>
</file>