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0F" w:rsidRPr="00637F08" w:rsidRDefault="00C27C0F" w:rsidP="00C27C0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C27C0F" w:rsidRPr="00637F08" w:rsidRDefault="00C27C0F" w:rsidP="00C27C0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C27C0F" w:rsidRPr="00637F08" w:rsidRDefault="00C27C0F" w:rsidP="00C27C0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C27C0F" w:rsidRPr="00637F08" w:rsidRDefault="00C27C0F" w:rsidP="00C27C0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C27C0F" w:rsidRPr="00637F08" w:rsidRDefault="00C27C0F" w:rsidP="00C27C0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Астана қаласы бойынша </w:t>
      </w:r>
    </w:p>
    <w:p w:rsidR="00C27C0F" w:rsidRPr="00637F08" w:rsidRDefault="00C27C0F" w:rsidP="00C27C0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  <w:r>
        <w:rPr>
          <w:rFonts w:ascii="Times New Roman" w:hAnsi="Times New Roman"/>
          <w:sz w:val="24"/>
          <w:szCs w:val="24"/>
          <w:lang w:val="kk-KZ"/>
        </w:rPr>
        <w:t>д</w:t>
      </w:r>
      <w:r w:rsidRPr="00637F08">
        <w:rPr>
          <w:rFonts w:ascii="Times New Roman" w:hAnsi="Times New Roman"/>
          <w:sz w:val="24"/>
          <w:szCs w:val="24"/>
          <w:lang w:val="kk-KZ"/>
        </w:rPr>
        <w:t>епартаменті</w:t>
      </w:r>
      <w:r>
        <w:rPr>
          <w:rFonts w:ascii="Times New Roman" w:hAnsi="Times New Roman"/>
          <w:sz w:val="24"/>
          <w:szCs w:val="24"/>
          <w:lang w:val="kk-KZ"/>
        </w:rPr>
        <w:t>нің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27C0F" w:rsidRPr="00637F08" w:rsidRDefault="00C27C0F" w:rsidP="00C27C0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C27C0F" w:rsidRPr="00637F08" w:rsidRDefault="00C27C0F" w:rsidP="00C27C0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C27C0F" w:rsidRDefault="00C27C0F" w:rsidP="00C27C0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C27C0F" w:rsidRPr="00637F08" w:rsidRDefault="00C27C0F" w:rsidP="00C27C0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2017 жылғы </w:t>
      </w:r>
      <w:r>
        <w:rPr>
          <w:rFonts w:ascii="Times New Roman" w:hAnsi="Times New Roman"/>
          <w:bCs/>
          <w:sz w:val="24"/>
          <w:szCs w:val="24"/>
          <w:lang w:val="kk-KZ"/>
        </w:rPr>
        <w:t>22 желтоқсандағы</w:t>
      </w:r>
    </w:p>
    <w:p w:rsidR="00C27C0F" w:rsidRDefault="00C27C0F" w:rsidP="00C27C0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C27C0F" w:rsidRDefault="00C27C0F" w:rsidP="00C27C0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C27C0F" w:rsidRDefault="00C27C0F" w:rsidP="00C27C0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C27C0F" w:rsidRPr="007B34A7" w:rsidRDefault="00C27C0F" w:rsidP="00C27C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B34A7">
        <w:rPr>
          <w:rFonts w:ascii="Times New Roman" w:hAnsi="Times New Roman"/>
          <w:sz w:val="28"/>
          <w:szCs w:val="28"/>
          <w:lang w:val="kk-KZ"/>
        </w:rPr>
        <w:t xml:space="preserve">«Б» корпусының бос мемлекеттік әкімшілік лауазымына 2017 жылғы </w:t>
      </w:r>
      <w:r>
        <w:rPr>
          <w:rFonts w:ascii="Times New Roman" w:hAnsi="Times New Roman"/>
          <w:sz w:val="28"/>
          <w:szCs w:val="28"/>
          <w:lang w:val="kk-KZ"/>
        </w:rPr>
        <w:t xml:space="preserve">    25 желто</w:t>
      </w:r>
      <w:r w:rsidRPr="007B34A7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сан</w:t>
      </w:r>
      <w:r w:rsidRPr="007B34A7">
        <w:rPr>
          <w:rFonts w:ascii="Times New Roman" w:hAnsi="Times New Roman"/>
          <w:sz w:val="28"/>
          <w:szCs w:val="28"/>
          <w:lang w:val="kk-KZ"/>
        </w:rPr>
        <w:t>да сағат 10-00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7B34A7">
        <w:rPr>
          <w:rFonts w:ascii="Times New Roman" w:hAnsi="Times New Roman"/>
          <w:sz w:val="28"/>
          <w:szCs w:val="28"/>
          <w:lang w:val="kk-KZ"/>
        </w:rPr>
        <w:t>де Астана қаласы, Республика даңғылы, Астана қаласы бойынша Мемлекеттік кірістер департаменті Сарыарқа ауданы бойынша Мемлекеттік кірістер басқармасының 20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7B34A7">
        <w:rPr>
          <w:rFonts w:ascii="Times New Roman" w:hAnsi="Times New Roman"/>
          <w:sz w:val="28"/>
          <w:szCs w:val="28"/>
          <w:lang w:val="kk-KZ"/>
        </w:rPr>
        <w:t xml:space="preserve">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C27C0F" w:rsidRPr="00865911" w:rsidTr="009D4D1F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0F" w:rsidRPr="00865911" w:rsidRDefault="00C27C0F" w:rsidP="009D4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0F" w:rsidRPr="00865911" w:rsidRDefault="00C27C0F" w:rsidP="009D4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r w:rsidRPr="0086591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ӘЖ</w:t>
            </w:r>
          </w:p>
        </w:tc>
      </w:tr>
      <w:tr w:rsidR="00C27C0F" w:rsidRPr="00865911" w:rsidTr="009D4D1F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0F" w:rsidRPr="00913B23" w:rsidRDefault="00C27C0F" w:rsidP="009D4D1F">
            <w:pPr>
              <w:spacing w:after="0" w:line="240" w:lineRule="auto"/>
              <w:ind w:firstLine="360"/>
              <w:jc w:val="both"/>
              <w:rPr>
                <w:rFonts w:ascii="Times New Roman" w:eastAsiaTheme="minorEastAsia" w:hAnsi="Times New Roman"/>
                <w:b/>
                <w:color w:val="C0504D" w:themeColor="accent2"/>
                <w:sz w:val="24"/>
                <w:szCs w:val="24"/>
                <w:lang w:val="kk-KZ" w:eastAsia="ru-RU"/>
              </w:rPr>
            </w:pPr>
            <w:r w:rsidRPr="00913B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Астана қаласы Сарыарқа ауданы бойынша Мемлекеттік кірістер басқармасының </w:t>
            </w:r>
            <w:r w:rsidRPr="001C7C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 жеке кәсіпкерлерімен жұмыс</w:t>
            </w:r>
            <w:r w:rsidRPr="001C7CF4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913B2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бөлім</w:t>
            </w:r>
            <w:r w:rsidRPr="00913B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інің бас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шысы </w:t>
            </w:r>
            <w:r w:rsidRPr="00913B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ла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уазымы үшін, С-R-3</w:t>
            </w:r>
            <w:r w:rsidRPr="00913B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санаты (1</w:t>
            </w:r>
            <w:r w:rsidRPr="00913B23"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  <w:r w:rsidRPr="00913B23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C27C0F" w:rsidRPr="00EF6C33" w:rsidRDefault="00C27C0F" w:rsidP="009D4D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913B2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</w:tr>
      <w:tr w:rsidR="00C27C0F" w:rsidRPr="00865911" w:rsidTr="009D4D1F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0F" w:rsidRPr="00865911" w:rsidRDefault="00C27C0F" w:rsidP="009D4D1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0F" w:rsidRPr="00185D92" w:rsidRDefault="00C27C0F" w:rsidP="009D4D1F">
            <w:pPr>
              <w:rPr>
                <w:rFonts w:ascii="Times New Roman" w:eastAsiaTheme="minorHAnsi" w:hAnsi="Times New Roman"/>
                <w:lang w:val="kk-KZ"/>
              </w:rPr>
            </w:pPr>
            <w:r w:rsidRPr="00185D92">
              <w:rPr>
                <w:rFonts w:ascii="Times New Roman" w:eastAsiaTheme="minorHAnsi" w:hAnsi="Times New Roman"/>
                <w:lang w:val="kk-KZ"/>
              </w:rPr>
              <w:t>Бегахметов  Куаныш Талгатович</w:t>
            </w:r>
          </w:p>
        </w:tc>
      </w:tr>
      <w:tr w:rsidR="00C27C0F" w:rsidRPr="00865911" w:rsidTr="009D4D1F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0F" w:rsidRPr="00865911" w:rsidRDefault="00C27C0F" w:rsidP="009D4D1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0F" w:rsidRPr="001301D1" w:rsidRDefault="00C27C0F" w:rsidP="009D4D1F">
            <w:pPr>
              <w:rPr>
                <w:rFonts w:ascii="Times New Roman" w:eastAsiaTheme="minorHAnsi" w:hAnsi="Times New Roman"/>
              </w:rPr>
            </w:pPr>
            <w:proofErr w:type="spellStart"/>
            <w:r w:rsidRPr="001301D1">
              <w:rPr>
                <w:rFonts w:ascii="Times New Roman" w:eastAsiaTheme="minorHAnsi" w:hAnsi="Times New Roman"/>
              </w:rPr>
              <w:t>Ибраева</w:t>
            </w:r>
            <w:proofErr w:type="spellEnd"/>
            <w:r w:rsidRPr="001301D1">
              <w:rPr>
                <w:rFonts w:ascii="Times New Roman" w:eastAsiaTheme="minorHAnsi" w:hAnsi="Times New Roman"/>
              </w:rPr>
              <w:t xml:space="preserve"> Сания </w:t>
            </w:r>
            <w:proofErr w:type="spellStart"/>
            <w:r w:rsidRPr="001301D1">
              <w:rPr>
                <w:rFonts w:ascii="Times New Roman" w:eastAsiaTheme="minorHAnsi" w:hAnsi="Times New Roman"/>
              </w:rPr>
              <w:t>Сатпаевна</w:t>
            </w:r>
            <w:proofErr w:type="spellEnd"/>
          </w:p>
        </w:tc>
      </w:tr>
    </w:tbl>
    <w:p w:rsidR="00C27C0F" w:rsidRDefault="00C27C0F" w:rsidP="00C27C0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27C0F" w:rsidRDefault="00C27C0F" w:rsidP="00C27C0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27C0F" w:rsidRDefault="00C27C0F" w:rsidP="00C27C0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27C0F" w:rsidRDefault="00C27C0F" w:rsidP="00C27C0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27C0F" w:rsidRDefault="00C27C0F" w:rsidP="00C27C0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511710" w:rsidRDefault="00C27C0F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0F"/>
    <w:rsid w:val="00082002"/>
    <w:rsid w:val="006302BD"/>
    <w:rsid w:val="00C27C0F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2017-12-22T09:48:00Z</dcterms:created>
  <dcterms:modified xsi:type="dcterms:W3CDTF">2017-12-22T09:48:00Z</dcterms:modified>
</cp:coreProperties>
</file>