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F4" w:rsidRPr="002239C7" w:rsidRDefault="00433FF4" w:rsidP="00433FF4">
      <w:pPr>
        <w:widowControl w:val="0"/>
        <w:shd w:val="clear" w:color="auto" w:fill="FFFFFF" w:themeFill="background1"/>
        <w:ind w:firstLine="851"/>
        <w:jc w:val="both"/>
        <w:rPr>
          <w:rFonts w:ascii="Times New Roman" w:hAnsi="Times New Roman"/>
          <w:b/>
          <w:sz w:val="24"/>
          <w:szCs w:val="24"/>
          <w:lang w:val="kk-KZ"/>
        </w:rPr>
      </w:pPr>
      <w:r w:rsidRPr="002239C7">
        <w:rPr>
          <w:rFonts w:ascii="Times New Roman" w:hAnsi="Times New Roman"/>
          <w:b/>
          <w:sz w:val="24"/>
          <w:szCs w:val="24"/>
          <w:lang w:val="kk-KZ"/>
        </w:rPr>
        <w:t>Салықтық есепке алу қағидалары</w:t>
      </w:r>
    </w:p>
    <w:p w:rsidR="00433FF4" w:rsidRPr="002239C7" w:rsidRDefault="00433FF4" w:rsidP="00433FF4">
      <w:pPr>
        <w:widowControl w:val="0"/>
        <w:shd w:val="clear" w:color="auto" w:fill="FFFFFF" w:themeFill="background1"/>
        <w:ind w:firstLine="851"/>
        <w:jc w:val="both"/>
        <w:rPr>
          <w:rFonts w:ascii="Times New Roman" w:hAnsi="Times New Roman"/>
          <w:sz w:val="24"/>
          <w:szCs w:val="24"/>
          <w:lang w:val="kk-KZ"/>
        </w:rPr>
      </w:pPr>
    </w:p>
    <w:p w:rsidR="00433FF4" w:rsidRPr="002239C7" w:rsidRDefault="00433FF4" w:rsidP="00433FF4">
      <w:pPr>
        <w:widowControl w:val="0"/>
        <w:shd w:val="clear" w:color="auto" w:fill="FFFFFF" w:themeFill="background1"/>
        <w:ind w:firstLine="851"/>
        <w:jc w:val="both"/>
        <w:rPr>
          <w:rFonts w:ascii="Times New Roman" w:hAnsi="Times New Roman"/>
          <w:sz w:val="24"/>
          <w:szCs w:val="24"/>
          <w:lang w:val="kk-KZ"/>
        </w:rPr>
      </w:pPr>
      <w:r w:rsidRPr="002239C7">
        <w:rPr>
          <w:rFonts w:ascii="Times New Roman" w:hAnsi="Times New Roman"/>
          <w:sz w:val="24"/>
          <w:szCs w:val="24"/>
          <w:lang w:val="kk-KZ"/>
        </w:rPr>
        <w:t>Салық төлеуші (салық агенті) салықтық есепке алуды жүргізуді салықтық заңнамалармен белгіленген тәртіппен және шарттарға сәйкес есепке жазу әдісі бойынша теңгемен жүзеге асырады.</w:t>
      </w:r>
    </w:p>
    <w:p w:rsidR="00433FF4" w:rsidRPr="002239C7" w:rsidRDefault="00433FF4" w:rsidP="00433FF4">
      <w:pPr>
        <w:widowControl w:val="0"/>
        <w:shd w:val="clear" w:color="auto" w:fill="FFFFFF" w:themeFill="background1"/>
        <w:ind w:firstLine="851"/>
        <w:jc w:val="both"/>
        <w:rPr>
          <w:rFonts w:ascii="Times New Roman" w:hAnsi="Times New Roman"/>
          <w:sz w:val="24"/>
          <w:szCs w:val="24"/>
          <w:lang w:val="kk-KZ"/>
        </w:rPr>
      </w:pPr>
      <w:r w:rsidRPr="002239C7">
        <w:rPr>
          <w:rFonts w:ascii="Times New Roman" w:hAnsi="Times New Roman"/>
          <w:sz w:val="24"/>
          <w:szCs w:val="24"/>
          <w:lang w:val="kk-KZ"/>
        </w:rPr>
        <w:t xml:space="preserve">Есепке жазу әдісі </w:t>
      </w:r>
      <w:r w:rsidRPr="002239C7">
        <w:rPr>
          <w:rFonts w:ascii="Times New Roman" w:hAnsi="Times New Roman"/>
          <w:spacing w:val="2"/>
          <w:sz w:val="24"/>
          <w:szCs w:val="24"/>
          <w:lang w:val="kk-KZ"/>
        </w:rPr>
        <w:t xml:space="preserve"> </w:t>
      </w:r>
      <w:r w:rsidRPr="002239C7">
        <w:rPr>
          <w:rFonts w:ascii="Times New Roman" w:hAnsi="Times New Roman"/>
          <w:sz w:val="24"/>
          <w:szCs w:val="24"/>
          <w:lang w:val="kk-KZ"/>
        </w:rPr>
        <w:t>операциялар мен өзге де оқиғалардың нәтижелері ақшаны немесе оның баламасын алған немесе төлеген күннен бастап емес, олардың жасалу фактісі бойынша, оның ішінде мүлікті өткізу немесе кіріске алу мақсатында жұмыстар орындалған, қызметтер ұсынылған, тауарлар сатып алушыға немесе оның сенім білдірілген тұлғасына тиеп-жөнелтілген және берілген күннен бастап танылатын есепке алу әдісі болып табылады.</w:t>
      </w:r>
    </w:p>
    <w:p w:rsidR="00433FF4" w:rsidRPr="002239C7" w:rsidRDefault="00433FF4" w:rsidP="00433FF4">
      <w:pPr>
        <w:widowControl w:val="0"/>
        <w:shd w:val="clear" w:color="auto" w:fill="FFFFFF" w:themeFill="background1"/>
        <w:ind w:firstLine="851"/>
        <w:jc w:val="both"/>
        <w:rPr>
          <w:rFonts w:ascii="Times New Roman" w:hAnsi="Times New Roman"/>
          <w:sz w:val="24"/>
          <w:szCs w:val="24"/>
          <w:lang w:val="kk-KZ"/>
        </w:rPr>
      </w:pPr>
      <w:r w:rsidRPr="002239C7">
        <w:rPr>
          <w:rFonts w:ascii="Times New Roman" w:hAnsi="Times New Roman"/>
          <w:sz w:val="24"/>
          <w:szCs w:val="24"/>
          <w:lang w:val="kk-KZ"/>
        </w:rPr>
        <w:t>Салық төлеуші (салық агенті) салықтық кезеңнің қорытындылары бойынша салықтық есепке алу негізінде салық салу объектілерін және (немесе) салық салуға байланысты объектілерді айқындайды және салықтар мен бюджетке төленетін төлемдерді есептейді.</w:t>
      </w:r>
    </w:p>
    <w:p w:rsidR="00433FF4" w:rsidRPr="002239C7" w:rsidRDefault="00433FF4" w:rsidP="00433FF4">
      <w:pPr>
        <w:widowControl w:val="0"/>
        <w:shd w:val="clear" w:color="auto" w:fill="FFFFFF" w:themeFill="background1"/>
        <w:ind w:firstLine="851"/>
        <w:jc w:val="both"/>
        <w:rPr>
          <w:rFonts w:ascii="Times New Roman" w:hAnsi="Times New Roman"/>
          <w:sz w:val="24"/>
          <w:szCs w:val="24"/>
          <w:lang w:val="kk-KZ"/>
        </w:rPr>
      </w:pPr>
      <w:r w:rsidRPr="002239C7">
        <w:rPr>
          <w:rFonts w:ascii="Times New Roman" w:hAnsi="Times New Roman"/>
          <w:sz w:val="24"/>
          <w:szCs w:val="24"/>
          <w:lang w:val="kk-KZ"/>
        </w:rPr>
        <w:t>Салық салу мақсатында бағамдық айырманы есепке алу, оның ішінде бағамдық айырма сомасын айқындау халықаралық қаржылық есептілік стандарттарына және Қазақстан Республикасының бухгалтерлік есепке алу және қаржылық есептілік туралы заңнамасының талаптарына сәйкес жүзеге асырылады.</w:t>
      </w:r>
    </w:p>
    <w:p w:rsidR="00433FF4" w:rsidRPr="002239C7" w:rsidRDefault="00433FF4" w:rsidP="00433FF4">
      <w:pPr>
        <w:widowControl w:val="0"/>
        <w:shd w:val="clear" w:color="auto" w:fill="FFFFFF" w:themeFill="background1"/>
        <w:ind w:firstLine="851"/>
        <w:jc w:val="both"/>
        <w:rPr>
          <w:rFonts w:ascii="Times New Roman" w:hAnsi="Times New Roman"/>
          <w:sz w:val="24"/>
          <w:szCs w:val="24"/>
          <w:lang w:val="kk-KZ"/>
        </w:rPr>
      </w:pPr>
      <w:r w:rsidRPr="002239C7">
        <w:rPr>
          <w:rFonts w:ascii="Times New Roman" w:hAnsi="Times New Roman"/>
          <w:sz w:val="24"/>
          <w:szCs w:val="24"/>
          <w:lang w:val="kk-KZ"/>
        </w:rPr>
        <w:t>Запастарды есепке алу халықаралық қаржылық есептілік стандарттарына және Қазақстан Республикасының бухгалтерлік есепке алу және қаржылық есептілік туралы заңнамасының талаптарына сәйкес жүзеге асырылады. Бұл ретте салық салу мақсатында запастардың құны – сатудың ықтимал таза бағасына дейін есептен шығару және сатудың ықтимал таза бағасының ұлғаюынан туындаған, бұрын есептен шығару жүргізілген запастарға қатысты қалпына келтіру арқылы запастар құнының өзгеруін есепке алмай айқындалады.</w:t>
      </w:r>
    </w:p>
    <w:p w:rsidR="00433FF4" w:rsidRPr="002239C7" w:rsidRDefault="00433FF4" w:rsidP="00433FF4">
      <w:pPr>
        <w:widowControl w:val="0"/>
        <w:shd w:val="clear" w:color="auto" w:fill="FFFFFF" w:themeFill="background1"/>
        <w:ind w:firstLine="851"/>
        <w:jc w:val="both"/>
        <w:rPr>
          <w:rFonts w:ascii="Times New Roman" w:hAnsi="Times New Roman"/>
          <w:sz w:val="24"/>
          <w:szCs w:val="24"/>
          <w:lang w:val="kk-KZ"/>
        </w:rPr>
      </w:pPr>
      <w:r w:rsidRPr="002239C7">
        <w:rPr>
          <w:rFonts w:ascii="Times New Roman" w:hAnsi="Times New Roman"/>
          <w:sz w:val="24"/>
          <w:szCs w:val="24"/>
          <w:lang w:val="kk-KZ"/>
        </w:rPr>
        <w:t>«Астана – жаңа қала» МКБ</w:t>
      </w:r>
    </w:p>
    <w:p w:rsidR="00511710" w:rsidRDefault="00433FF4">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F4"/>
    <w:rsid w:val="00082002"/>
    <w:rsid w:val="00433FF4"/>
    <w:rsid w:val="006302B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F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F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2018-04-20T12:02:00Z</dcterms:created>
  <dcterms:modified xsi:type="dcterms:W3CDTF">2018-04-20T12:02:00Z</dcterms:modified>
</cp:coreProperties>
</file>