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94169" w:rsidTr="0049416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94169" w:rsidRDefault="00494169" w:rsidP="009F26A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СУГД-12-12/2088   от: 16.02.2018</w:t>
            </w:r>
          </w:p>
          <w:p w:rsidR="00494169" w:rsidRPr="00494169" w:rsidRDefault="00494169" w:rsidP="009F26A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8169   от: 16.02.2018</w:t>
            </w:r>
          </w:p>
        </w:tc>
      </w:tr>
    </w:tbl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="00833F67">
        <w:rPr>
          <w:rFonts w:ascii="Times New Roman" w:hAnsi="Times New Roman"/>
          <w:bCs/>
          <w:sz w:val="24"/>
          <w:szCs w:val="24"/>
          <w:lang w:val="kk-KZ"/>
        </w:rPr>
        <w:t xml:space="preserve">5 </w:t>
      </w:r>
      <w:r>
        <w:rPr>
          <w:rFonts w:ascii="Times New Roman" w:hAnsi="Times New Roman"/>
          <w:bCs/>
          <w:sz w:val="24"/>
          <w:szCs w:val="24"/>
          <w:lang w:val="kk-KZ"/>
        </w:rPr>
        <w:t>ақпандағы</w:t>
      </w:r>
    </w:p>
    <w:p w:rsidR="009F26A6" w:rsidRDefault="009F26A6" w:rsidP="009F26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9F26A6" w:rsidRPr="00637F08" w:rsidRDefault="009F26A6" w:rsidP="009F26A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9F26A6" w:rsidRDefault="009F26A6" w:rsidP="009F26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Pr="003B04FD">
        <w:rPr>
          <w:rFonts w:ascii="Times New Roman" w:hAnsi="Times New Roman"/>
          <w:sz w:val="24"/>
          <w:szCs w:val="24"/>
          <w:lang w:val="kk-KZ"/>
        </w:rPr>
        <w:t>20 ақпанда</w:t>
      </w:r>
      <w:r w:rsidRPr="000A48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>де Астана қаласы, Республика даңғылы, Астана 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9F26A6" w:rsidRPr="00637F08" w:rsidRDefault="009F26A6" w:rsidP="009F26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9F26A6" w:rsidRPr="00637F08" w:rsidTr="004E2516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6" w:rsidRPr="00637F08" w:rsidRDefault="009F26A6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6" w:rsidRPr="00637F08" w:rsidRDefault="009F26A6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9F26A6" w:rsidRPr="00637F08" w:rsidTr="004E2516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6" w:rsidRPr="00053EFF" w:rsidRDefault="009F26A6" w:rsidP="004E2516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D97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алық төлеуші жеке кәсіпкерлермен жұмыс</w:t>
            </w:r>
            <w:r w:rsidRPr="004F231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маманы</w:t>
            </w:r>
            <w:r w:rsidRPr="004F231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 w:rsidRPr="00053EF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</w:t>
            </w:r>
            <w:r w:rsidRPr="00053EF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1 бірлік</w:t>
            </w:r>
            <w:r w:rsidRPr="00053EF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2019 жылдың 07</w:t>
            </w:r>
            <w:r w:rsidRPr="00053EF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ақпанына</w:t>
            </w:r>
            <w:r w:rsidRPr="00053EF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053EF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  <w:t>дейін негізгі қызметкерлердің бала күтіміне байланысты демалысы кезеңіне</w:t>
            </w:r>
            <w:r w:rsidRPr="00053EF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)</w:t>
            </w:r>
            <w:r w:rsidRPr="00053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Pr="00053EF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бірлік), </w:t>
            </w:r>
            <w:r w:rsidRPr="00053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4</w:t>
            </w:r>
            <w:r w:rsidRPr="00053E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санаты</w:t>
            </w:r>
            <w:r w:rsidRPr="00053EF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9F26A6" w:rsidRPr="00784048" w:rsidRDefault="009F26A6" w:rsidP="004E2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F26A6" w:rsidRPr="00637F08" w:rsidTr="004E2516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A6" w:rsidRPr="004F231E" w:rsidRDefault="009F26A6" w:rsidP="004E251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A6" w:rsidRPr="00A562E4" w:rsidRDefault="009F26A6" w:rsidP="004E251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110F">
              <w:rPr>
                <w:rFonts w:ascii="Times New Roman" w:hAnsi="Times New Roman"/>
                <w:sz w:val="24"/>
                <w:szCs w:val="24"/>
              </w:rPr>
              <w:t>Есқайыр Ақбота Сейітқанқызы</w:t>
            </w:r>
          </w:p>
        </w:tc>
      </w:tr>
      <w:tr w:rsidR="009F26A6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9F26A6" w:rsidRPr="004F231E" w:rsidRDefault="009F26A6" w:rsidP="004E2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D97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Камералдық бақылау</w:t>
            </w:r>
            <w:r w:rsidRPr="00531B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F231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F23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F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4F231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9F26A6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F26A6" w:rsidRPr="00784048" w:rsidRDefault="009F26A6" w:rsidP="004E25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9F26A6" w:rsidRPr="00A562E4" w:rsidRDefault="009F26A6" w:rsidP="004E2516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C4110F">
              <w:rPr>
                <w:rFonts w:ascii="Times New Roman" w:hAnsi="Times New Roman"/>
                <w:sz w:val="24"/>
                <w:szCs w:val="24"/>
              </w:rPr>
              <w:t>Есқайыр Ақбота Сейітқанқызы</w:t>
            </w:r>
          </w:p>
        </w:tc>
      </w:tr>
      <w:tr w:rsidR="009F26A6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9F26A6" w:rsidRPr="004F231E" w:rsidRDefault="009F26A6" w:rsidP="004E2516">
            <w:pPr>
              <w:rPr>
                <w:rFonts w:ascii="Times New Roman" w:hAnsi="Times New Roman"/>
                <w:sz w:val="24"/>
                <w:szCs w:val="24"/>
              </w:rPr>
            </w:pPr>
            <w:r w:rsidRPr="00B050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Талдау, есептеу және есептемелер</w:t>
            </w:r>
            <w:r w:rsidRPr="00531B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маманы, С-R-4 санаты, (1</w:t>
            </w:r>
            <w:r w:rsidRPr="0078404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9F26A6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F26A6" w:rsidRPr="00784048" w:rsidRDefault="009F26A6" w:rsidP="004E25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9F26A6" w:rsidRPr="004F231E" w:rsidRDefault="009F26A6" w:rsidP="004E251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Кистаубаева Жанар Мажитовна</w:t>
            </w:r>
            <w:bookmarkStart w:id="0" w:name="_GoBack"/>
            <w:bookmarkEnd w:id="0"/>
          </w:p>
        </w:tc>
      </w:tr>
      <w:tr w:rsidR="009F26A6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9F26A6" w:rsidRPr="00424807" w:rsidRDefault="009F26A6" w:rsidP="004E251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C0504D" w:themeColor="accent2"/>
                <w:sz w:val="24"/>
                <w:szCs w:val="24"/>
                <w:lang w:val="kk-KZ" w:eastAsia="ru-RU"/>
              </w:rPr>
            </w:pPr>
            <w:r w:rsidRPr="00B050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Салықты бақылау</w:t>
            </w:r>
            <w:r w:rsidRPr="00531B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70F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бөлім</w:t>
            </w:r>
            <w:r w:rsidRPr="00A70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інің бас маманы, </w:t>
            </w:r>
            <w:r w:rsidRPr="00A70F34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70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С-R-4 санаты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A70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 w:rsidRPr="00A70F34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</w:p>
        </w:tc>
      </w:tr>
      <w:tr w:rsidR="009F26A6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F26A6" w:rsidRPr="00A70F34" w:rsidRDefault="009F26A6" w:rsidP="004E25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9F26A6" w:rsidRPr="008C5C6C" w:rsidRDefault="009F26A6" w:rsidP="004E251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Койжанов 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қтар Ахметкалиевич</w:t>
            </w:r>
          </w:p>
        </w:tc>
      </w:tr>
      <w:tr w:rsidR="009F26A6" w:rsidRPr="00637F08" w:rsidTr="004E2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9F26A6" w:rsidRDefault="009F26A6" w:rsidP="004E2516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9F26A6" w:rsidRPr="000E0A25" w:rsidRDefault="009F26A6" w:rsidP="004E251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>Адисаев Нурсапар Кайратович</w:t>
            </w:r>
          </w:p>
          <w:p w:rsidR="009F26A6" w:rsidRDefault="009F26A6" w:rsidP="004E2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6A6" w:rsidRDefault="009F26A6" w:rsidP="009F26A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9F26A6" w:rsidRDefault="009F26A6" w:rsidP="009F26A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9F26A6" w:rsidRDefault="009F26A6" w:rsidP="009F26A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9F26A6" w:rsidRDefault="009F26A6" w:rsidP="009F26A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9F26A6" w:rsidRDefault="009F26A6" w:rsidP="009F26A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7A3362" w:rsidRDefault="007A3362"/>
    <w:sectPr w:rsidR="007A33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B8" w:rsidRDefault="00D636B8" w:rsidP="00494169">
      <w:pPr>
        <w:spacing w:after="0" w:line="240" w:lineRule="auto"/>
      </w:pPr>
      <w:r>
        <w:separator/>
      </w:r>
    </w:p>
  </w:endnote>
  <w:endnote w:type="continuationSeparator" w:id="0">
    <w:p w:rsidR="00D636B8" w:rsidRDefault="00D636B8" w:rsidP="0049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B8" w:rsidRDefault="00D636B8" w:rsidP="00494169">
      <w:pPr>
        <w:spacing w:after="0" w:line="240" w:lineRule="auto"/>
      </w:pPr>
      <w:r>
        <w:separator/>
      </w:r>
    </w:p>
  </w:footnote>
  <w:footnote w:type="continuationSeparator" w:id="0">
    <w:p w:rsidR="00D636B8" w:rsidRDefault="00D636B8" w:rsidP="0049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69" w:rsidRDefault="0049416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169" w:rsidRPr="00494169" w:rsidRDefault="0049416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94169" w:rsidRPr="00494169" w:rsidRDefault="0049416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9E"/>
    <w:rsid w:val="00494169"/>
    <w:rsid w:val="0066669E"/>
    <w:rsid w:val="007A3362"/>
    <w:rsid w:val="00833F67"/>
    <w:rsid w:val="009F26A6"/>
    <w:rsid w:val="00D636B8"/>
    <w:rsid w:val="00E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1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9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1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9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2018-02-16T12:29:00Z</dcterms:created>
  <dcterms:modified xsi:type="dcterms:W3CDTF">2018-02-16T12:29:00Z</dcterms:modified>
</cp:coreProperties>
</file>