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17 мамырдагы</w:t>
      </w: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EF5E00" w:rsidRPr="00637F08" w:rsidRDefault="00EF5E00" w:rsidP="00EF5E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EF5E00" w:rsidRDefault="00EF5E00" w:rsidP="00EF5E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22</w:t>
      </w:r>
      <w:r w:rsidRPr="003B04F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мамырда</w:t>
      </w:r>
      <w:r w:rsidRPr="000A48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EF5E00" w:rsidRPr="00637F08" w:rsidRDefault="00EF5E00" w:rsidP="00EF5E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EF5E00" w:rsidRPr="00637F08" w:rsidTr="00360F8E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0" w:rsidRPr="00637F08" w:rsidRDefault="00EF5E00" w:rsidP="00360F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0" w:rsidRPr="00637F08" w:rsidRDefault="00EF5E00" w:rsidP="00360F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EF5E00" w:rsidRPr="00637F08" w:rsidTr="00360F8E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0" w:rsidRPr="00784048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Ұйымдастыру жұмысы бөлімінің басшысы С-R-3 санаты (1 бірлік) </w:t>
            </w:r>
          </w:p>
        </w:tc>
      </w:tr>
      <w:tr w:rsidR="00EF5E00" w:rsidRPr="00637F08" w:rsidTr="00360F8E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00" w:rsidRPr="004F231E" w:rsidRDefault="00EF5E00" w:rsidP="00360F8E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00" w:rsidRPr="00A562E4" w:rsidRDefault="00EF5E00" w:rsidP="00360F8E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Ергалиева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Есеналиевна</w:t>
            </w:r>
            <w:proofErr w:type="spellEnd"/>
          </w:p>
        </w:tc>
      </w:tr>
      <w:tr w:rsidR="00EF5E00" w:rsidRPr="00637F08" w:rsidTr="00360F8E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00" w:rsidRPr="004F231E" w:rsidRDefault="00EF5E00" w:rsidP="00360F8E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00" w:rsidRPr="00BC769A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Тасыбаева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Батырхановна</w:t>
            </w:r>
            <w:proofErr w:type="spellEnd"/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4F231E" w:rsidRDefault="00EF5E00" w:rsidP="00360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жұмысы бөлімінің бас маманы (негізгі қызметкердің бала күтуге арналған демалысы кезеңіне 18.01.2021 жылға дейін) С-R-4 санаты (1 бірлік)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Pr="00784048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A562E4" w:rsidRDefault="00EF5E00" w:rsidP="00360F8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Кистаубаева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Жанар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Мажитовна</w:t>
            </w:r>
            <w:proofErr w:type="spellEnd"/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4F231E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 бөлімінің бас маманы С-R-4 санаты (2 бірлік), (онын ішінде 1 бірлік негізгі қызметкердің бала күтуге арналған демалысы кезеңіне  20.02.2021 жылға дейін)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Pr="00784048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4F231E" w:rsidRDefault="00EF5E00" w:rsidP="00360F8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C769A">
              <w:rPr>
                <w:rFonts w:ascii="Times New Roman" w:hAnsi="Times New Roman"/>
                <w:sz w:val="24"/>
                <w:szCs w:val="24"/>
              </w:rPr>
              <w:t>Тойболдинова Гульнара Жумашевна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BC769A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Кубейсинов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Нурбек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Ерсеитович</w:t>
            </w:r>
            <w:proofErr w:type="spellEnd"/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BC769A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Камзина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Самал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BC769A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Кабильдинова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BC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424807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 бөлімінің бас маманы С-R-4 санаты (1 бірлік)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Pr="00A70F34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8C5C6C" w:rsidRDefault="00EF5E00" w:rsidP="00360F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BC769A">
              <w:rPr>
                <w:rFonts w:ascii="Times New Roman" w:hAnsi="Times New Roman"/>
                <w:sz w:val="24"/>
                <w:szCs w:val="24"/>
              </w:rPr>
              <w:t>Тойболдинова Гульнара Жумашевна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EF5E00" w:rsidRDefault="00EF5E00" w:rsidP="00360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Кабильдинова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Алия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Сериковна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D2079E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Салық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төлеушілерді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тіркеу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ақ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параттарды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өңдеу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рталығ</w:t>
            </w:r>
            <w:proofErr w:type="gram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</w:t>
            </w:r>
            <w:proofErr w:type="gram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маманы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негізгі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қызметкердің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бала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күтуге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арналған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демалысы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кезеңіне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18.02.2020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жылға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дейін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) С-R-4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(1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D2079E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----------------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D2079E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Салық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төлеуші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жеке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</w:t>
            </w:r>
            <w:proofErr w:type="gram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әсіпкерлермен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жұмыс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маны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С-R-4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      </w:t>
            </w:r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(1 </w:t>
            </w:r>
            <w:proofErr w:type="spellStart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D207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0E0A25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Тойболдинова Гульнара Жумашевна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D2079E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BC769A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Гутова Асель Сенбиевна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F5E00" w:rsidRPr="00BC769A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Талдау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,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есептеу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және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есептемелер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бөлімінің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бас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маманы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негізгі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қызметкердің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бала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күтуге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арналған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демалысы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кезеңіне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19.08.2019 </w:t>
            </w:r>
            <w:proofErr w:type="spellStart"/>
            <w:proofErr w:type="gram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жыл</w:t>
            </w:r>
            <w:proofErr w:type="gram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ға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ейін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) С-R-4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(1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бірлік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EF5E00" w:rsidRPr="00637F08" w:rsidTr="0036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EF5E00" w:rsidRDefault="00EF5E00" w:rsidP="00360F8E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F5E00" w:rsidRPr="000E0A25" w:rsidRDefault="00EF5E00" w:rsidP="00360F8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Мырзабекова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Нуржамал</w:t>
            </w:r>
            <w:proofErr w:type="spellEnd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BC769A">
              <w:rPr>
                <w:rFonts w:ascii="Times New Roman" w:eastAsiaTheme="minorHAnsi" w:hAnsi="Times New Roman" w:cstheme="minorBidi"/>
                <w:sz w:val="24"/>
                <w:szCs w:val="24"/>
              </w:rPr>
              <w:t>Молдабековна</w:t>
            </w:r>
            <w:proofErr w:type="spellEnd"/>
          </w:p>
        </w:tc>
      </w:tr>
    </w:tbl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F5E00" w:rsidRDefault="00EF5E00" w:rsidP="00EF5E0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sectPr w:rsidR="000E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602D1"/>
    <w:rsid w:val="002D0311"/>
    <w:rsid w:val="003141D0"/>
    <w:rsid w:val="004869FA"/>
    <w:rsid w:val="00510864"/>
    <w:rsid w:val="00957F6F"/>
    <w:rsid w:val="00AC4BA3"/>
    <w:rsid w:val="00D3381B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16</cp:revision>
  <dcterms:created xsi:type="dcterms:W3CDTF">2018-04-10T05:50:00Z</dcterms:created>
  <dcterms:modified xsi:type="dcterms:W3CDTF">2018-05-18T11:15:00Z</dcterms:modified>
</cp:coreProperties>
</file>