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E7" w:rsidRDefault="001D4EE7" w:rsidP="001D4EE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245EF">
        <w:rPr>
          <w:rFonts w:ascii="Times New Roman" w:hAnsi="Times New Roman"/>
          <w:b/>
          <w:sz w:val="28"/>
          <w:szCs w:val="28"/>
        </w:rPr>
        <w:t>Земельный налог</w:t>
      </w:r>
    </w:p>
    <w:p w:rsidR="001D4EE7" w:rsidRPr="001D4EE7" w:rsidRDefault="001D4EE7" w:rsidP="001D4EE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D4EE7" w:rsidRPr="005245EF" w:rsidRDefault="001D4EE7" w:rsidP="001D4E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В пункт 5 статьи 388 Налогового кодекса внесены изменения, в соответствии с которыми уточнен порядок исчисления и уплаты земельного налога с физических лиц при изменениях категории населенного пункта и границ административно-территориальной единицы;</w:t>
      </w:r>
    </w:p>
    <w:p w:rsidR="001D4EE7" w:rsidRPr="005245EF" w:rsidRDefault="001D4EE7" w:rsidP="001D4EE7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45EF">
        <w:rPr>
          <w:rFonts w:eastAsia="Calibri"/>
          <w:sz w:val="28"/>
          <w:szCs w:val="28"/>
          <w:lang w:eastAsia="en-US"/>
        </w:rPr>
        <w:t xml:space="preserve">статья 391 Налогового кодекса дополнена новым пунктом 8, предусматривающим период начала и прекращения применения льгот по земельному налогу. </w:t>
      </w:r>
    </w:p>
    <w:p w:rsidR="001D4EE7" w:rsidRPr="005245EF" w:rsidRDefault="001D4EE7" w:rsidP="001D4E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3ED" w:rsidRDefault="000C43ED"/>
    <w:sectPr w:rsidR="000C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D4EE7"/>
    <w:rsid w:val="000C43ED"/>
    <w:rsid w:val="001D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4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D4E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1D4E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2</cp:revision>
  <dcterms:created xsi:type="dcterms:W3CDTF">2016-03-17T11:36:00Z</dcterms:created>
  <dcterms:modified xsi:type="dcterms:W3CDTF">2016-03-17T11:36:00Z</dcterms:modified>
</cp:coreProperties>
</file>