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847 от 17.12.2024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3B97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B40B521" w14:textId="221394D9" w:rsidR="009E3A07" w:rsidRDefault="000302A5" w:rsidP="009E3A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9E3A0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9E3A0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>2022 жылғы</w:t>
      </w:r>
      <w:r w:rsidR="00A576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30 желтоқсандағы </w:t>
      </w:r>
      <w:r w:rsidR="009E3A07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9E3A0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9E3A07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C718C27" w14:textId="3980C068" w:rsidR="009E3A07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D26FD" w:rsidRPr="00BD26FD">
        <w:rPr>
          <w:rFonts w:ascii="Times New Roman" w:hAnsi="Times New Roman"/>
          <w:color w:val="000000"/>
          <w:sz w:val="28"/>
          <w:szCs w:val="28"/>
          <w:lang w:val="kk-KZ"/>
        </w:rPr>
        <w:t>Гульбаршин Габдулхаковна</w:t>
      </w:r>
      <w:r w:rsidR="00BD26FD" w:rsidRPr="00BD26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26FD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Карамулинаның </w:t>
      </w:r>
      <w:r w:rsidRPr="00BD26FD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BD26FD" w:rsidRPr="00BD26FD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731224401483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hAnsi="Times New Roman"/>
          <w:sz w:val="28"/>
          <w:szCs w:val="28"/>
          <w:lang w:val="kk-KZ"/>
        </w:rPr>
        <w:t xml:space="preserve">Дана Есимқызы Барим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B1A93D9" w14:textId="02EC56CE" w:rsidR="009E3A07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Дана Есимқызы Баримға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5A6EA4F" w14:textId="0BB2BCA4" w:rsidR="009E3A07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>
        <w:rPr>
          <w:rFonts w:ascii="Times New Roman" w:hAnsi="Times New Roman"/>
          <w:sz w:val="28"/>
          <w:szCs w:val="28"/>
          <w:lang w:val="kk-KZ"/>
        </w:rPr>
        <w:t xml:space="preserve">Дана Есимқызы Барим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F77C9EB" w14:textId="77777777" w:rsidR="009E3A07" w:rsidRPr="00310D76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18A0187" w14:textId="77777777" w:rsidR="009E3A07" w:rsidRPr="00310D76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0C5BDD2D" w:rsidR="000302A5" w:rsidRDefault="000302A5" w:rsidP="009E3A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2" w:name="_GoBack"/>
      <w:bookmarkEnd w:id="2"/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4BD8CF72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E3A07">
        <w:rPr>
          <w:rFonts w:ascii="Times New Roman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9E3A07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12:41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14:16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17.12.2024 14:51.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E3A07"/>
    <w:rsid w:val="009F0AAF"/>
    <w:rsid w:val="009F6B7F"/>
    <w:rsid w:val="00A01F33"/>
    <w:rsid w:val="00A0541D"/>
    <w:rsid w:val="00A253A7"/>
    <w:rsid w:val="00A32A9D"/>
    <w:rsid w:val="00A42E95"/>
    <w:rsid w:val="00A470A5"/>
    <w:rsid w:val="00A5761D"/>
    <w:rsid w:val="00A612DC"/>
    <w:rsid w:val="00A62B27"/>
    <w:rsid w:val="00A65736"/>
    <w:rsid w:val="00A75D69"/>
    <w:rsid w:val="00A8165B"/>
    <w:rsid w:val="00A92F35"/>
    <w:rsid w:val="00A97DD3"/>
    <w:rsid w:val="00AA41C6"/>
    <w:rsid w:val="00AB3555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D26FD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197,bqiaagaaeyqcaaagiaiaaamubaaabsieaaaaaaaaaaaaaaaaaaaaaaaaaaaaaaaaaaaaaaaaaaaaaaaaaaaaaaaaaaaaaaaaaaaaaaaaaaaaaaaaaaaaaaaaaaaaaaaaaaaaaaaaaaaaaaaaaaaaaaaaaaaaaaaaaaaaaaaaaaaaaaaaaaaaaaaaaaaaaaaaaaaaaaaaaaaaaaaaaaaaaaaaaaaaaaaaaaaaaaaa"/>
    <w:basedOn w:val="a0"/>
    <w:rsid w:val="00BD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4" Type="http://schemas.openxmlformats.org/officeDocument/2006/relationships/image" Target="media/image96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40E5-328C-4CDE-A3E6-B1FEDF44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111</cp:revision>
  <cp:lastPrinted>2023-05-11T05:07:00Z</cp:lastPrinted>
  <dcterms:created xsi:type="dcterms:W3CDTF">2023-04-04T11:32:00Z</dcterms:created>
  <dcterms:modified xsi:type="dcterms:W3CDTF">2024-12-17T06:44:00Z</dcterms:modified>
</cp:coreProperties>
</file>